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60230" w14:textId="3D6FF621" w:rsidR="001E05C6" w:rsidRPr="00D310BC" w:rsidRDefault="00431D89" w:rsidP="0074288E">
      <w:pPr>
        <w:spacing w:line="216" w:lineRule="auto"/>
        <w:jc w:val="both"/>
        <w:rPr>
          <w:rFonts w:ascii="Palatino Linotype" w:hAnsi="Palatino Linotype" w:cs="Calibri Light"/>
          <w:b/>
          <w:bCs/>
          <w:color w:val="80340D" w:themeColor="accent2" w:themeShade="80"/>
          <w:sz w:val="32"/>
          <w:szCs w:val="32"/>
        </w:rPr>
      </w:pPr>
      <w:bookmarkStart w:id="0" w:name="_Hlk224643680"/>
      <w:bookmarkStart w:id="1" w:name="_Hlk224646016"/>
      <w:bookmarkStart w:id="2" w:name="_Hlk224649835"/>
      <w:r w:rsidRPr="00431D89">
        <w:rPr>
          <w:rFonts w:ascii="Palatino Linotype" w:hAnsi="Palatino Linotype" w:cs="Calibri Light"/>
          <w:b/>
          <w:bCs/>
          <w:color w:val="80340D" w:themeColor="accent2" w:themeShade="80"/>
          <w:sz w:val="32"/>
          <w:szCs w:val="32"/>
        </w:rPr>
        <w:t xml:space="preserve">Legal Harmonization of Islamic Social Finance Governance: Strengthening Zakat, </w:t>
      </w:r>
      <w:proofErr w:type="spellStart"/>
      <w:r w:rsidRPr="00431D89">
        <w:rPr>
          <w:rFonts w:ascii="Palatino Linotype" w:hAnsi="Palatino Linotype" w:cs="Calibri Light"/>
          <w:b/>
          <w:bCs/>
          <w:color w:val="80340D" w:themeColor="accent2" w:themeShade="80"/>
          <w:sz w:val="32"/>
          <w:szCs w:val="32"/>
        </w:rPr>
        <w:t>Infaq</w:t>
      </w:r>
      <w:proofErr w:type="spellEnd"/>
      <w:r w:rsidRPr="00431D89">
        <w:rPr>
          <w:rFonts w:ascii="Palatino Linotype" w:hAnsi="Palatino Linotype" w:cs="Calibri Light"/>
          <w:b/>
          <w:bCs/>
          <w:color w:val="80340D" w:themeColor="accent2" w:themeShade="80"/>
          <w:sz w:val="32"/>
          <w:szCs w:val="32"/>
        </w:rPr>
        <w:t>, and Productive Waqf for Sustainable Community Economic Transformation</w:t>
      </w:r>
    </w:p>
    <w:p w14:paraId="46FEB04C" w14:textId="77777777" w:rsidR="001E05C6" w:rsidRPr="00D310BC" w:rsidRDefault="001E05C6" w:rsidP="0074288E">
      <w:pPr>
        <w:widowControl/>
        <w:spacing w:line="216" w:lineRule="auto"/>
        <w:rPr>
          <w:rFonts w:ascii="Palatino Linotype" w:hAnsi="Palatino Linotype" w:cs="Calibri Light"/>
          <w:b/>
          <w:bCs/>
          <w:color w:val="BF4E14" w:themeColor="accent2" w:themeShade="BF"/>
          <w:sz w:val="24"/>
          <w:szCs w:val="24"/>
        </w:rPr>
      </w:pPr>
    </w:p>
    <w:p w14:paraId="33BE2AAD" w14:textId="73A8FB50" w:rsidR="001E05C6" w:rsidRPr="00576F51" w:rsidRDefault="004A3649" w:rsidP="0074288E">
      <w:pPr>
        <w:widowControl/>
        <w:spacing w:line="216" w:lineRule="auto"/>
        <w:rPr>
          <w:rFonts w:ascii="Palatino Linotype" w:hAnsi="Palatino Linotype" w:cs="Calibri Light"/>
          <w:b/>
          <w:bCs/>
          <w:color w:val="000000" w:themeColor="text1"/>
          <w:sz w:val="24"/>
          <w:szCs w:val="24"/>
          <w:vertAlign w:val="superscript"/>
          <w:lang w:val="id-ID"/>
        </w:rPr>
      </w:pPr>
      <w:r>
        <w:rPr>
          <w:rFonts w:ascii="Palatino Linotype" w:hAnsi="Palatino Linotype" w:cs="Calibri Light"/>
          <w:b/>
          <w:bCs/>
          <w:color w:val="000000" w:themeColor="text1"/>
          <w:sz w:val="24"/>
          <w:szCs w:val="24"/>
          <w:lang w:val="id-ID"/>
        </w:rPr>
        <w:t>Makhyatul Fikriyah</w:t>
      </w:r>
      <w:r w:rsidR="00576F51">
        <w:rPr>
          <w:rFonts w:ascii="Palatino Linotype" w:hAnsi="Palatino Linotype" w:cs="Calibri Light"/>
          <w:b/>
          <w:bCs/>
          <w:color w:val="000000" w:themeColor="text1"/>
          <w:sz w:val="24"/>
          <w:szCs w:val="24"/>
          <w:vertAlign w:val="superscript"/>
          <w:lang w:val="id-ID"/>
        </w:rPr>
        <w:t>1</w:t>
      </w:r>
      <w:r w:rsidR="007A2A23" w:rsidRPr="007B2923">
        <w:rPr>
          <w:rFonts w:ascii="Palatino Linotype" w:hAnsi="Palatino Linotype" w:cs="Calibri Light"/>
          <w:b/>
          <w:bCs/>
          <w:color w:val="000000" w:themeColor="text1"/>
          <w:sz w:val="24"/>
          <w:szCs w:val="24"/>
          <w:lang w:val="id-ID"/>
        </w:rPr>
        <w:t>*</w:t>
      </w:r>
      <w:r w:rsidR="00576F51">
        <w:rPr>
          <w:rFonts w:ascii="Palatino Linotype" w:hAnsi="Palatino Linotype" w:cs="Calibri Light"/>
          <w:b/>
          <w:bCs/>
          <w:color w:val="000000" w:themeColor="text1"/>
          <w:sz w:val="24"/>
          <w:szCs w:val="24"/>
          <w:lang w:val="id-ID"/>
        </w:rPr>
        <w:t>, Halimatus Sa’diyah</w:t>
      </w:r>
      <w:r w:rsidR="00576F51">
        <w:rPr>
          <w:rFonts w:ascii="Palatino Linotype" w:hAnsi="Palatino Linotype" w:cs="Calibri Light"/>
          <w:b/>
          <w:bCs/>
          <w:color w:val="000000" w:themeColor="text1"/>
          <w:sz w:val="24"/>
          <w:szCs w:val="24"/>
          <w:vertAlign w:val="superscript"/>
          <w:lang w:val="id-ID"/>
        </w:rPr>
        <w:t>2</w:t>
      </w:r>
      <w:r w:rsidR="00576F51">
        <w:rPr>
          <w:rFonts w:ascii="Palatino Linotype" w:hAnsi="Palatino Linotype" w:cs="Calibri Light"/>
          <w:b/>
          <w:bCs/>
          <w:color w:val="000000" w:themeColor="text1"/>
          <w:sz w:val="24"/>
          <w:szCs w:val="24"/>
          <w:lang w:val="id-ID"/>
        </w:rPr>
        <w:t xml:space="preserve">, </w:t>
      </w:r>
      <w:r w:rsidR="00576F51" w:rsidRPr="00576F51">
        <w:rPr>
          <w:rFonts w:ascii="Palatino Linotype" w:hAnsi="Palatino Linotype" w:cs="Calibri Light"/>
          <w:b/>
          <w:bCs/>
          <w:color w:val="000000" w:themeColor="text1"/>
          <w:sz w:val="24"/>
          <w:szCs w:val="24"/>
          <w:lang w:val="id-ID"/>
        </w:rPr>
        <w:t>Nafi'ah rohmadini</w:t>
      </w:r>
      <w:r w:rsidR="00576F51">
        <w:rPr>
          <w:rFonts w:ascii="Palatino Linotype" w:hAnsi="Palatino Linotype" w:cs="Calibri Light"/>
          <w:b/>
          <w:bCs/>
          <w:color w:val="000000" w:themeColor="text1"/>
          <w:sz w:val="24"/>
          <w:szCs w:val="24"/>
          <w:vertAlign w:val="superscript"/>
          <w:lang w:val="id-ID"/>
        </w:rPr>
        <w:t>3</w:t>
      </w:r>
    </w:p>
    <w:p w14:paraId="730C3876" w14:textId="26E09C42" w:rsidR="00BC3DB7" w:rsidRDefault="00975C76" w:rsidP="0074288E">
      <w:pPr>
        <w:spacing w:line="216" w:lineRule="auto"/>
        <w:jc w:val="both"/>
        <w:rPr>
          <w:rFonts w:ascii="Palatino Linotype" w:hAnsi="Palatino Linotype" w:cs="Calibri Light"/>
          <w:color w:val="000000" w:themeColor="text1"/>
          <w:sz w:val="20"/>
          <w:lang w:val="sv-SE"/>
        </w:rPr>
      </w:pPr>
      <w:r>
        <w:rPr>
          <w:rFonts w:ascii="Palatino Linotype" w:hAnsi="Palatino Linotype" w:cs="Calibri Light"/>
          <w:color w:val="000000" w:themeColor="text1"/>
          <w:sz w:val="20"/>
          <w:vertAlign w:val="superscript"/>
          <w:lang w:val="id-ID"/>
        </w:rPr>
        <w:t xml:space="preserve">1 </w:t>
      </w:r>
      <w:r w:rsidR="0062043C" w:rsidRPr="007B2923">
        <w:rPr>
          <w:rFonts w:ascii="Palatino Linotype" w:hAnsi="Palatino Linotype" w:cs="Calibri Light"/>
          <w:color w:val="000000" w:themeColor="text1"/>
          <w:sz w:val="20"/>
          <w:lang w:val="id-ID"/>
        </w:rPr>
        <w:t xml:space="preserve">Universitas Islam Negeri Sunan </w:t>
      </w:r>
      <w:r w:rsidR="004A3649">
        <w:rPr>
          <w:rFonts w:ascii="Palatino Linotype" w:hAnsi="Palatino Linotype" w:cs="Calibri Light"/>
          <w:color w:val="000000" w:themeColor="text1"/>
          <w:sz w:val="20"/>
          <w:lang w:val="id-ID"/>
        </w:rPr>
        <w:t>Gunung Djati Bandung</w:t>
      </w:r>
      <w:r w:rsidR="000B3904" w:rsidRPr="007B2923">
        <w:rPr>
          <w:rFonts w:ascii="Palatino Linotype" w:hAnsi="Palatino Linotype" w:cs="Calibri Light"/>
          <w:color w:val="000000" w:themeColor="text1"/>
          <w:sz w:val="20"/>
          <w:lang w:val="id-ID"/>
        </w:rPr>
        <w:t xml:space="preserve">, </w:t>
      </w:r>
      <w:r w:rsidR="001E05C6" w:rsidRPr="007B2923">
        <w:rPr>
          <w:rFonts w:ascii="Palatino Linotype" w:hAnsi="Palatino Linotype" w:cs="Calibri Light"/>
          <w:color w:val="000000" w:themeColor="text1"/>
          <w:sz w:val="20"/>
          <w:lang w:val="sv-SE"/>
        </w:rPr>
        <w:t>Indonesia</w:t>
      </w:r>
    </w:p>
    <w:p w14:paraId="7F72B5E9" w14:textId="0F56D05C" w:rsidR="00576F51" w:rsidRDefault="00975C76" w:rsidP="0074288E">
      <w:pPr>
        <w:spacing w:line="216" w:lineRule="auto"/>
        <w:jc w:val="both"/>
        <w:rPr>
          <w:rFonts w:ascii="Palatino Linotype" w:hAnsi="Palatino Linotype" w:cs="Calibri Light"/>
          <w:color w:val="000000" w:themeColor="text1"/>
          <w:sz w:val="20"/>
          <w:lang w:val="sv-SE"/>
        </w:rPr>
      </w:pPr>
      <w:r>
        <w:rPr>
          <w:rFonts w:ascii="Palatino Linotype" w:hAnsi="Palatino Linotype" w:cs="Calibri Light"/>
          <w:color w:val="000000" w:themeColor="text1"/>
          <w:sz w:val="20"/>
          <w:vertAlign w:val="superscript"/>
          <w:lang w:val="sv-SE"/>
        </w:rPr>
        <w:t xml:space="preserve">2 </w:t>
      </w:r>
      <w:r w:rsidR="00576F51">
        <w:rPr>
          <w:rFonts w:ascii="Palatino Linotype" w:hAnsi="Palatino Linotype" w:cs="Calibri Light"/>
          <w:color w:val="000000" w:themeColor="text1"/>
          <w:sz w:val="20"/>
          <w:lang w:val="sv-SE"/>
        </w:rPr>
        <w:t>Universitas Nurul Jadid, Indonesia</w:t>
      </w:r>
    </w:p>
    <w:p w14:paraId="537F1E4C" w14:textId="376DC884" w:rsidR="00576F51" w:rsidRDefault="00975C76" w:rsidP="0074288E">
      <w:pPr>
        <w:spacing w:line="216" w:lineRule="auto"/>
        <w:jc w:val="both"/>
        <w:rPr>
          <w:rFonts w:ascii="Palatino Linotype" w:hAnsi="Palatino Linotype" w:cs="Calibri Light"/>
          <w:color w:val="000000" w:themeColor="text1"/>
          <w:sz w:val="20"/>
          <w:lang w:val="sv-SE"/>
        </w:rPr>
      </w:pPr>
      <w:r>
        <w:rPr>
          <w:rFonts w:ascii="Palatino Linotype" w:hAnsi="Palatino Linotype" w:cs="Calibri Light"/>
          <w:color w:val="000000" w:themeColor="text1"/>
          <w:sz w:val="20"/>
          <w:vertAlign w:val="superscript"/>
          <w:lang w:val="sv-SE"/>
        </w:rPr>
        <w:t xml:space="preserve">3 </w:t>
      </w:r>
      <w:r w:rsidR="00576F51" w:rsidRPr="00576F51">
        <w:rPr>
          <w:rFonts w:ascii="Palatino Linotype" w:hAnsi="Palatino Linotype" w:cs="Calibri Light"/>
          <w:color w:val="000000" w:themeColor="text1"/>
          <w:sz w:val="20"/>
          <w:lang w:val="sv-SE"/>
        </w:rPr>
        <w:t>Universitas Al azhar</w:t>
      </w:r>
      <w:r w:rsidR="00576F51">
        <w:rPr>
          <w:rFonts w:ascii="Palatino Linotype" w:hAnsi="Palatino Linotype" w:cs="Calibri Light"/>
          <w:color w:val="000000" w:themeColor="text1"/>
          <w:sz w:val="20"/>
          <w:lang w:val="sv-SE"/>
        </w:rPr>
        <w:t>, Egypt</w:t>
      </w:r>
    </w:p>
    <w:p w14:paraId="1553D537" w14:textId="7DBE1EEC" w:rsidR="001E05C6" w:rsidRPr="00D310BC" w:rsidRDefault="001E05C6" w:rsidP="0074288E">
      <w:pPr>
        <w:spacing w:line="216" w:lineRule="auto"/>
        <w:jc w:val="both"/>
        <w:rPr>
          <w:rFonts w:ascii="Palatino Linotype" w:hAnsi="Palatino Linotype" w:cs="Calibri Light"/>
          <w:color w:val="BF4E14" w:themeColor="accent2" w:themeShade="BF"/>
          <w:sz w:val="20"/>
          <w:lang w:val="sv-SE"/>
        </w:rPr>
      </w:pPr>
      <w:r w:rsidRPr="00A55CEB">
        <w:rPr>
          <w:rFonts w:ascii="Palatino Linotype" w:hAnsi="Palatino Linotype" w:cs="Calibri Light"/>
          <w:color w:val="000000" w:themeColor="text1"/>
          <w:sz w:val="20"/>
          <w:lang w:val="sv-SE"/>
        </w:rPr>
        <w:t xml:space="preserve">Email: </w:t>
      </w:r>
      <w:r w:rsidR="004A3649">
        <w:rPr>
          <w:rFonts w:ascii="Palatino Linotype" w:hAnsi="Palatino Linotype" w:cs="Calibri Light"/>
          <w:i/>
          <w:iCs/>
          <w:color w:val="000000" w:themeColor="text1"/>
          <w:sz w:val="20"/>
          <w:lang w:val="sv-SE"/>
        </w:rPr>
        <w:t>mahyafi</w:t>
      </w:r>
      <w:r w:rsidR="0062043C">
        <w:rPr>
          <w:rFonts w:ascii="Palatino Linotype" w:hAnsi="Palatino Linotype" w:cs="Calibri Light"/>
          <w:i/>
          <w:iCs/>
          <w:color w:val="000000" w:themeColor="text1"/>
          <w:sz w:val="20"/>
          <w:lang w:val="sv-SE"/>
        </w:rPr>
        <w:t>@gmail</w:t>
      </w:r>
      <w:r w:rsidR="00BC3DB7" w:rsidRPr="00BC3DB7">
        <w:rPr>
          <w:rFonts w:ascii="Palatino Linotype" w:hAnsi="Palatino Linotype" w:cs="Calibri Light"/>
          <w:i/>
          <w:iCs/>
          <w:color w:val="000000" w:themeColor="text1"/>
          <w:sz w:val="20"/>
          <w:lang w:val="sv-SE"/>
        </w:rPr>
        <w:t>.com</w:t>
      </w:r>
    </w:p>
    <w:p w14:paraId="4C275F58" w14:textId="77777777" w:rsidR="001E05C6" w:rsidRPr="00A55CEB" w:rsidRDefault="001E05C6" w:rsidP="0074288E">
      <w:pPr>
        <w:spacing w:line="216" w:lineRule="auto"/>
        <w:jc w:val="both"/>
        <w:rPr>
          <w:rFonts w:ascii="Palatino Linotype" w:hAnsi="Palatino Linotype" w:cs="Calibri Light"/>
          <w:color w:val="002060"/>
          <w:sz w:val="20"/>
          <w:lang w:val="sv-SE"/>
        </w:rPr>
      </w:pPr>
    </w:p>
    <w:p w14:paraId="1D818DEF" w14:textId="77777777" w:rsidR="001E05C6" w:rsidRPr="00A55CEB" w:rsidRDefault="001E05C6" w:rsidP="0074288E">
      <w:pPr>
        <w:spacing w:line="216" w:lineRule="auto"/>
        <w:jc w:val="both"/>
        <w:rPr>
          <w:rFonts w:ascii="Palatino Linotype" w:eastAsia="Times New Roman" w:hAnsi="Palatino Linotype" w:cs="Calibri Light"/>
          <w:color w:val="3333FF"/>
          <w:sz w:val="20"/>
          <w:lang w:val="id-ID"/>
        </w:rPr>
      </w:pPr>
      <w:r w:rsidRPr="00A55CEB">
        <w:rPr>
          <w:rFonts w:ascii="Palatino Linotype" w:eastAsia="Times New Roman" w:hAnsi="Palatino Linotype" w:cs="Calibri Light"/>
          <w:color w:val="3333FF"/>
          <w:sz w:val="20"/>
          <w:lang w:val="id-ID"/>
        </w:rPr>
        <w:t>DOI: https://doi.org/10.61987/bamj.v1i1</w:t>
      </w:r>
    </w:p>
    <w:p w14:paraId="0E2ED0EF" w14:textId="77777777" w:rsidR="001E05C6" w:rsidRPr="00A55CEB" w:rsidRDefault="001E05C6" w:rsidP="0074288E">
      <w:pPr>
        <w:spacing w:line="216" w:lineRule="auto"/>
        <w:jc w:val="both"/>
        <w:rPr>
          <w:rFonts w:ascii="Palatino Linotype" w:hAnsi="Palatino Linotype" w:cs="Calibri Light"/>
          <w:color w:val="002060"/>
          <w:sz w:val="20"/>
          <w:lang w:val="id-ID"/>
        </w:rPr>
      </w:pPr>
      <w:r w:rsidRPr="00A55CEB">
        <w:rPr>
          <w:rFonts w:ascii="Palatino Linotype" w:hAnsi="Palatino Linotype" w:cs="Calibri Light"/>
          <w:color w:val="002060"/>
          <w:sz w:val="20"/>
          <w:lang w:val="id-ID"/>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5"/>
        <w:gridCol w:w="5504"/>
      </w:tblGrid>
      <w:tr w:rsidR="001E05C6" w:rsidRPr="00A55CEB" w14:paraId="38812F77" w14:textId="77777777" w:rsidTr="0082641C">
        <w:tc>
          <w:tcPr>
            <w:tcW w:w="2735" w:type="dxa"/>
          </w:tcPr>
          <w:p w14:paraId="351222C3" w14:textId="77777777" w:rsidR="001E05C6" w:rsidRPr="00D310BC" w:rsidRDefault="001E05C6" w:rsidP="0074288E">
            <w:pPr>
              <w:widowControl/>
              <w:spacing w:line="216" w:lineRule="auto"/>
              <w:jc w:val="both"/>
              <w:rPr>
                <w:rFonts w:ascii="Palatino Linotype" w:hAnsi="Palatino Linotype" w:cs="Calibri Light"/>
                <w:b/>
                <w:bCs/>
                <w:i/>
                <w:iCs/>
                <w:color w:val="BF4E14" w:themeColor="accent2" w:themeShade="BF"/>
                <w:sz w:val="20"/>
                <w:lang w:val="en-US"/>
              </w:rPr>
            </w:pPr>
            <w:r w:rsidRPr="00D310BC">
              <w:rPr>
                <w:rFonts w:ascii="Palatino Linotype" w:hAnsi="Palatino Linotype" w:cs="Calibri Light"/>
                <w:b/>
                <w:bCs/>
                <w:i/>
                <w:iCs/>
                <w:color w:val="BF4E14" w:themeColor="accent2" w:themeShade="BF"/>
                <w:sz w:val="20"/>
                <w:lang w:val="en-US"/>
              </w:rPr>
              <w:t>Article History:</w:t>
            </w:r>
          </w:p>
          <w:p w14:paraId="13CC66B0" w14:textId="5A33E1CB" w:rsidR="001E05C6" w:rsidRPr="00A55CEB" w:rsidRDefault="001E05C6" w:rsidP="0074288E">
            <w:pPr>
              <w:widowControl/>
              <w:spacing w:line="216" w:lineRule="auto"/>
              <w:rPr>
                <w:rFonts w:ascii="Palatino Linotype" w:hAnsi="Palatino Linotype" w:cs="Calibri Light"/>
                <w:i/>
                <w:iCs/>
                <w:sz w:val="20"/>
                <w:lang w:val="en-US"/>
              </w:rPr>
            </w:pPr>
            <w:r w:rsidRPr="00A55CEB">
              <w:rPr>
                <w:rFonts w:ascii="Palatino Linotype" w:hAnsi="Palatino Linotype" w:cs="Calibri Light"/>
                <w:i/>
                <w:iCs/>
                <w:sz w:val="20"/>
                <w:lang w:val="en-US"/>
              </w:rPr>
              <w:t xml:space="preserve">Received: 02 </w:t>
            </w:r>
            <w:r w:rsidR="007D62CC">
              <w:rPr>
                <w:rFonts w:ascii="Palatino Linotype" w:hAnsi="Palatino Linotype" w:cs="Calibri Light"/>
                <w:i/>
                <w:iCs/>
                <w:sz w:val="20"/>
                <w:lang w:val="en-US"/>
              </w:rPr>
              <w:t>May</w:t>
            </w:r>
            <w:r w:rsidRPr="00A55CEB">
              <w:rPr>
                <w:rFonts w:ascii="Palatino Linotype" w:hAnsi="Palatino Linotype" w:cs="Calibri Light"/>
                <w:i/>
                <w:iCs/>
                <w:sz w:val="20"/>
                <w:lang w:val="en-US"/>
              </w:rPr>
              <w:t xml:space="preserve"> 202</w:t>
            </w:r>
            <w:r w:rsidR="007D62CC">
              <w:rPr>
                <w:rFonts w:ascii="Palatino Linotype" w:hAnsi="Palatino Linotype" w:cs="Calibri Light"/>
                <w:i/>
                <w:iCs/>
                <w:sz w:val="20"/>
                <w:lang w:val="en-US"/>
              </w:rPr>
              <w:t>6</w:t>
            </w:r>
          </w:p>
          <w:p w14:paraId="238C2B3B" w14:textId="041879D9" w:rsidR="001E05C6" w:rsidRPr="00A55CEB" w:rsidRDefault="001E05C6" w:rsidP="0074288E">
            <w:pPr>
              <w:widowControl/>
              <w:spacing w:line="216" w:lineRule="auto"/>
              <w:rPr>
                <w:rFonts w:ascii="Palatino Linotype" w:hAnsi="Palatino Linotype" w:cs="Calibri Light"/>
                <w:i/>
                <w:iCs/>
                <w:sz w:val="20"/>
                <w:lang w:val="en-US"/>
              </w:rPr>
            </w:pPr>
            <w:r w:rsidRPr="00A55CEB">
              <w:rPr>
                <w:rFonts w:ascii="Palatino Linotype" w:hAnsi="Palatino Linotype" w:cs="Calibri Light"/>
                <w:i/>
                <w:iCs/>
                <w:sz w:val="20"/>
                <w:lang w:val="en-US"/>
              </w:rPr>
              <w:t xml:space="preserve">Revised: 14 </w:t>
            </w:r>
            <w:r w:rsidR="007D62CC">
              <w:rPr>
                <w:rFonts w:ascii="Palatino Linotype" w:hAnsi="Palatino Linotype" w:cs="Calibri Light"/>
                <w:i/>
                <w:iCs/>
                <w:sz w:val="20"/>
                <w:lang w:val="en-US"/>
              </w:rPr>
              <w:t>June</w:t>
            </w:r>
            <w:r w:rsidRPr="00A55CEB">
              <w:rPr>
                <w:rFonts w:ascii="Palatino Linotype" w:hAnsi="Palatino Linotype" w:cs="Calibri Light"/>
                <w:i/>
                <w:iCs/>
                <w:sz w:val="20"/>
                <w:lang w:val="en-US"/>
              </w:rPr>
              <w:t xml:space="preserve"> 2026</w:t>
            </w:r>
          </w:p>
          <w:p w14:paraId="5363403D" w14:textId="4DFF7572" w:rsidR="001E05C6" w:rsidRPr="00A55CEB" w:rsidRDefault="001E05C6" w:rsidP="0074288E">
            <w:pPr>
              <w:widowControl/>
              <w:spacing w:line="216" w:lineRule="auto"/>
              <w:jc w:val="both"/>
              <w:rPr>
                <w:rFonts w:ascii="Palatino Linotype" w:hAnsi="Palatino Linotype" w:cs="Calibri Light"/>
                <w:i/>
                <w:iCs/>
                <w:sz w:val="20"/>
                <w:lang w:val="en-US"/>
              </w:rPr>
            </w:pPr>
            <w:r w:rsidRPr="00A55CEB">
              <w:rPr>
                <w:rFonts w:ascii="Palatino Linotype" w:hAnsi="Palatino Linotype" w:cs="Calibri Light"/>
                <w:i/>
                <w:iCs/>
                <w:sz w:val="20"/>
                <w:lang w:val="en-US"/>
              </w:rPr>
              <w:t xml:space="preserve">Accepted: 10 </w:t>
            </w:r>
            <w:r w:rsidR="007D62CC">
              <w:rPr>
                <w:rFonts w:ascii="Palatino Linotype" w:hAnsi="Palatino Linotype" w:cs="Calibri Light"/>
                <w:i/>
                <w:iCs/>
                <w:sz w:val="20"/>
                <w:lang w:val="en-US"/>
              </w:rPr>
              <w:t>July</w:t>
            </w:r>
            <w:r w:rsidRPr="00A55CEB">
              <w:rPr>
                <w:rFonts w:ascii="Palatino Linotype" w:hAnsi="Palatino Linotype" w:cs="Calibri Light"/>
                <w:i/>
                <w:iCs/>
                <w:sz w:val="20"/>
                <w:lang w:val="en-US"/>
              </w:rPr>
              <w:t xml:space="preserve"> 2026</w:t>
            </w:r>
          </w:p>
          <w:p w14:paraId="21A43AC8" w14:textId="77777777" w:rsidR="001E05C6" w:rsidRPr="00A55CEB" w:rsidRDefault="001E05C6" w:rsidP="0074288E">
            <w:pPr>
              <w:widowControl/>
              <w:spacing w:line="216" w:lineRule="auto"/>
              <w:jc w:val="both"/>
              <w:rPr>
                <w:rFonts w:ascii="Palatino Linotype" w:hAnsi="Palatino Linotype" w:cs="Calibri Light"/>
                <w:i/>
                <w:iCs/>
                <w:sz w:val="20"/>
                <w:lang w:val="en-US"/>
              </w:rPr>
            </w:pPr>
          </w:p>
          <w:p w14:paraId="346FBD3C" w14:textId="77777777" w:rsidR="001E05C6" w:rsidRPr="00D310BC" w:rsidRDefault="001E05C6" w:rsidP="0074288E">
            <w:pPr>
              <w:widowControl/>
              <w:spacing w:line="216" w:lineRule="auto"/>
              <w:jc w:val="both"/>
              <w:rPr>
                <w:rFonts w:ascii="Palatino Linotype" w:hAnsi="Palatino Linotype" w:cs="Calibri Light"/>
                <w:b/>
                <w:bCs/>
                <w:i/>
                <w:iCs/>
                <w:color w:val="BF4E14" w:themeColor="accent2" w:themeShade="BF"/>
                <w:sz w:val="20"/>
                <w:lang w:val="en-US"/>
              </w:rPr>
            </w:pPr>
            <w:r w:rsidRPr="00D310BC">
              <w:rPr>
                <w:rFonts w:ascii="Palatino Linotype" w:hAnsi="Palatino Linotype" w:cs="Calibri Light"/>
                <w:b/>
                <w:bCs/>
                <w:i/>
                <w:iCs/>
                <w:color w:val="BF4E14" w:themeColor="accent2" w:themeShade="BF"/>
                <w:sz w:val="20"/>
                <w:lang w:val="en-US"/>
              </w:rPr>
              <w:t xml:space="preserve">Keywords: </w:t>
            </w:r>
          </w:p>
          <w:p w14:paraId="3DBB7193" w14:textId="2071EB93" w:rsidR="001E05C6" w:rsidRPr="00A55CEB" w:rsidRDefault="004A3649" w:rsidP="0074288E">
            <w:pPr>
              <w:widowControl/>
              <w:spacing w:line="216" w:lineRule="auto"/>
              <w:rPr>
                <w:rFonts w:ascii="Palatino Linotype" w:hAnsi="Palatino Linotype" w:cs="Calibri Light"/>
                <w:i/>
                <w:iCs/>
                <w:color w:val="212121"/>
                <w:sz w:val="20"/>
              </w:rPr>
            </w:pPr>
            <w:r w:rsidRPr="004A3649">
              <w:rPr>
                <w:rFonts w:ascii="Palatino Linotype" w:hAnsi="Palatino Linotype" w:cs="Calibri Light"/>
                <w:i/>
                <w:iCs/>
                <w:color w:val="212121"/>
                <w:sz w:val="20"/>
              </w:rPr>
              <w:t xml:space="preserve">Islamic Social Finance; Legal Effectiveness; Governance; </w:t>
            </w:r>
            <w:r w:rsidR="00BA39BB" w:rsidRPr="004A3649">
              <w:rPr>
                <w:rFonts w:ascii="Palatino Linotype" w:hAnsi="Palatino Linotype" w:cs="Calibri Light"/>
                <w:i/>
                <w:iCs/>
                <w:color w:val="212121"/>
                <w:sz w:val="20"/>
              </w:rPr>
              <w:t>Islamic Economic Law</w:t>
            </w:r>
          </w:p>
          <w:p w14:paraId="5B00F8E1" w14:textId="77777777" w:rsidR="001E05C6" w:rsidRPr="00A55CEB" w:rsidRDefault="001E05C6" w:rsidP="0074288E">
            <w:pPr>
              <w:widowControl/>
              <w:spacing w:line="216" w:lineRule="auto"/>
              <w:jc w:val="both"/>
              <w:rPr>
                <w:rFonts w:ascii="Palatino Linotype" w:hAnsi="Palatino Linotype" w:cs="Calibri Light"/>
                <w:iCs/>
                <w:lang w:val="en-US"/>
              </w:rPr>
            </w:pPr>
          </w:p>
          <w:p w14:paraId="4F58BFD5" w14:textId="77777777" w:rsidR="001E05C6" w:rsidRPr="00D310BC" w:rsidRDefault="001E05C6" w:rsidP="0074288E">
            <w:pPr>
              <w:widowControl/>
              <w:spacing w:line="216" w:lineRule="auto"/>
              <w:jc w:val="both"/>
              <w:rPr>
                <w:rFonts w:ascii="Palatino Linotype" w:hAnsi="Palatino Linotype" w:cs="Calibri Light"/>
                <w:b/>
                <w:bCs/>
                <w:i/>
                <w:iCs/>
                <w:color w:val="BF4E14" w:themeColor="accent2" w:themeShade="BF"/>
                <w:sz w:val="20"/>
                <w:lang w:val="en-US"/>
              </w:rPr>
            </w:pPr>
            <w:r w:rsidRPr="00D310BC">
              <w:rPr>
                <w:rFonts w:ascii="Palatino Linotype" w:hAnsi="Palatino Linotype" w:cs="Calibri Light"/>
                <w:b/>
                <w:bCs/>
                <w:i/>
                <w:iCs/>
                <w:color w:val="BF4E14" w:themeColor="accent2" w:themeShade="BF"/>
                <w:sz w:val="20"/>
                <w:lang w:val="en-US"/>
              </w:rPr>
              <w:t>*Correspondence Address:</w:t>
            </w:r>
          </w:p>
          <w:p w14:paraId="1AC41E08" w14:textId="6CA3D892" w:rsidR="001E05C6" w:rsidRPr="004A3649" w:rsidRDefault="004A3649" w:rsidP="0074288E">
            <w:pPr>
              <w:widowControl/>
              <w:spacing w:line="216" w:lineRule="auto"/>
              <w:jc w:val="both"/>
              <w:rPr>
                <w:rFonts w:ascii="Palatino Linotype" w:hAnsi="Palatino Linotype" w:cs="Calibri Light"/>
                <w:i/>
                <w:iCs/>
                <w:sz w:val="20"/>
                <w:szCs w:val="24"/>
                <w:lang w:val="en-US"/>
              </w:rPr>
            </w:pPr>
            <w:hyperlink r:id="rId7" w:history="1">
              <w:r w:rsidRPr="00447DFE">
                <w:rPr>
                  <w:rStyle w:val="Hyperlink"/>
                </w:rPr>
                <w:t xml:space="preserve"> </w:t>
              </w:r>
              <w:r w:rsidRPr="00447DFE">
                <w:rPr>
                  <w:rStyle w:val="Hyperlink"/>
                  <w:rFonts w:ascii="Palatino Linotype" w:hAnsi="Palatino Linotype" w:cs="Calibri Light"/>
                  <w:i/>
                  <w:iCs/>
                </w:rPr>
                <w:t>m</w:t>
              </w:r>
              <w:r w:rsidRPr="00447DFE">
                <w:rPr>
                  <w:rStyle w:val="Hyperlink"/>
                  <w:i/>
                  <w:iCs/>
                </w:rPr>
                <w:t>ahyafi</w:t>
              </w:r>
              <w:r w:rsidRPr="00447DFE">
                <w:rPr>
                  <w:rStyle w:val="Hyperlink"/>
                  <w:rFonts w:ascii="Palatino Linotype" w:hAnsi="Palatino Linotype" w:cs="Calibri Light"/>
                  <w:i/>
                  <w:iCs/>
                </w:rPr>
                <w:t xml:space="preserve">@gmail.com </w:t>
              </w:r>
              <w:r w:rsidRPr="00447DFE">
                <w:rPr>
                  <w:rStyle w:val="Hyperlink"/>
                  <w:rFonts w:ascii="Palatino Linotype" w:hAnsi="Palatino Linotype" w:cs="Calibri Light"/>
                  <w:i/>
                  <w:iCs/>
                  <w:sz w:val="20"/>
                  <w:szCs w:val="24"/>
                  <w:lang w:val="id-ID"/>
                </w:rPr>
                <w:t xml:space="preserve"> </w:t>
              </w:r>
            </w:hyperlink>
          </w:p>
          <w:p w14:paraId="70C0CF9A" w14:textId="77777777" w:rsidR="001E05C6" w:rsidRPr="00A55CEB" w:rsidRDefault="001E05C6" w:rsidP="0074288E">
            <w:pPr>
              <w:widowControl/>
              <w:spacing w:line="216" w:lineRule="auto"/>
              <w:jc w:val="both"/>
              <w:rPr>
                <w:rFonts w:ascii="Palatino Linotype" w:hAnsi="Palatino Linotype" w:cs="Calibri Light"/>
                <w:i/>
                <w:iCs/>
                <w:sz w:val="20"/>
                <w:lang w:val="en-US"/>
              </w:rPr>
            </w:pPr>
          </w:p>
        </w:tc>
        <w:tc>
          <w:tcPr>
            <w:tcW w:w="5504" w:type="dxa"/>
          </w:tcPr>
          <w:p w14:paraId="2FE937B7" w14:textId="77777777" w:rsidR="001E05C6" w:rsidRPr="00D310BC" w:rsidRDefault="001E05C6" w:rsidP="0074288E">
            <w:pPr>
              <w:widowControl/>
              <w:spacing w:line="216" w:lineRule="auto"/>
              <w:jc w:val="both"/>
              <w:rPr>
                <w:rFonts w:ascii="Palatino Linotype" w:hAnsi="Palatino Linotype" w:cs="Calibri Light"/>
                <w:b/>
                <w:bCs/>
                <w:color w:val="BF4E14" w:themeColor="accent2" w:themeShade="BF"/>
                <w:sz w:val="20"/>
                <w:lang w:val="en-US"/>
              </w:rPr>
            </w:pPr>
            <w:r w:rsidRPr="00D310BC">
              <w:rPr>
                <w:rFonts w:ascii="Palatino Linotype" w:hAnsi="Palatino Linotype" w:cs="Calibri Light"/>
                <w:b/>
                <w:bCs/>
                <w:color w:val="BF4E14" w:themeColor="accent2" w:themeShade="BF"/>
                <w:sz w:val="20"/>
                <w:lang w:val="en-US"/>
              </w:rPr>
              <w:t xml:space="preserve">Abstract : </w:t>
            </w:r>
          </w:p>
          <w:p w14:paraId="51D6D768" w14:textId="77777777" w:rsidR="004A3649" w:rsidRPr="004A3649" w:rsidRDefault="004A3649" w:rsidP="004A3649">
            <w:pPr>
              <w:widowControl/>
              <w:spacing w:line="216" w:lineRule="auto"/>
              <w:jc w:val="both"/>
              <w:rPr>
                <w:rFonts w:ascii="Palatino Linotype" w:hAnsi="Palatino Linotype" w:cs="Calibri Light"/>
                <w:color w:val="212121"/>
                <w:sz w:val="20"/>
                <w:lang w:val="en-ID"/>
              </w:rPr>
            </w:pPr>
            <w:r w:rsidRPr="004A3649">
              <w:rPr>
                <w:rFonts w:ascii="Palatino Linotype" w:hAnsi="Palatino Linotype" w:cs="Calibri Light"/>
                <w:color w:val="212121"/>
                <w:sz w:val="20"/>
                <w:lang w:val="en-ID"/>
              </w:rPr>
              <w:t xml:space="preserve">This study examines the legal effectiveness of Islamic social finance governance in Indonesia by </w:t>
            </w:r>
            <w:proofErr w:type="spellStart"/>
            <w:r w:rsidRPr="004A3649">
              <w:rPr>
                <w:rFonts w:ascii="Palatino Linotype" w:hAnsi="Palatino Linotype" w:cs="Calibri Light"/>
                <w:color w:val="212121"/>
                <w:sz w:val="20"/>
                <w:lang w:val="en-ID"/>
              </w:rPr>
              <w:t>analyzing</w:t>
            </w:r>
            <w:proofErr w:type="spellEnd"/>
            <w:r w:rsidRPr="004A3649">
              <w:rPr>
                <w:rFonts w:ascii="Palatino Linotype" w:hAnsi="Palatino Linotype" w:cs="Calibri Light"/>
                <w:color w:val="212121"/>
                <w:sz w:val="20"/>
                <w:lang w:val="en-ID"/>
              </w:rPr>
              <w:t xml:space="preserve"> the regulatory framework governing zakat, waqf, and related Islamic social finance instruments. Employing a normative legal research approach, the study </w:t>
            </w:r>
            <w:proofErr w:type="spellStart"/>
            <w:r w:rsidRPr="004A3649">
              <w:rPr>
                <w:rFonts w:ascii="Palatino Linotype" w:hAnsi="Palatino Linotype" w:cs="Calibri Light"/>
                <w:color w:val="212121"/>
                <w:sz w:val="20"/>
                <w:lang w:val="en-ID"/>
              </w:rPr>
              <w:t>analyzes</w:t>
            </w:r>
            <w:proofErr w:type="spellEnd"/>
            <w:r w:rsidRPr="004A3649">
              <w:rPr>
                <w:rFonts w:ascii="Palatino Linotype" w:hAnsi="Palatino Linotype" w:cs="Calibri Light"/>
                <w:color w:val="212121"/>
                <w:sz w:val="20"/>
                <w:lang w:val="en-ID"/>
              </w:rPr>
              <w:t xml:space="preserve"> primary legal sources, including statutory regulations, government regulations, and relevant Sharia provisions, complemented by secondary literature and doctrinal analysis. The findings reveal that Indonesia possesses a comprehensive legal foundation that promotes legal certainty, accountability, Sharia compliance, and institutional legitimacy. Nevertheless, fragmented institutional coordination, sectoral regulations, and inconsistent supervisory mechanisms continue to hinder governance integration and reduce operational effectiveness. The study concludes that legal effectiveness depends not only on the existence of statutory regulations but also on the harmonization of governance structures, institutional collaboration, and integrated accountability systems. Theoretically, this research contributes to the development of an integrated legal governance framework that combines </w:t>
            </w:r>
            <w:proofErr w:type="spellStart"/>
            <w:r w:rsidRPr="004A3649">
              <w:rPr>
                <w:rFonts w:ascii="Palatino Linotype" w:hAnsi="Palatino Linotype" w:cs="Calibri Light"/>
                <w:i/>
                <w:iCs/>
                <w:color w:val="212121"/>
                <w:sz w:val="20"/>
                <w:lang w:val="en-ID"/>
              </w:rPr>
              <w:t>maqā</w:t>
            </w:r>
            <w:r w:rsidRPr="004A3649">
              <w:rPr>
                <w:rFonts w:ascii="Cambria" w:hAnsi="Cambria" w:cs="Cambria"/>
                <w:i/>
                <w:iCs/>
                <w:color w:val="212121"/>
                <w:sz w:val="20"/>
                <w:lang w:val="en-ID"/>
              </w:rPr>
              <w:t>ṣ</w:t>
            </w:r>
            <w:r w:rsidRPr="004A3649">
              <w:rPr>
                <w:rFonts w:ascii="Palatino Linotype" w:hAnsi="Palatino Linotype" w:cs="Calibri Light"/>
                <w:i/>
                <w:iCs/>
                <w:color w:val="212121"/>
                <w:sz w:val="20"/>
                <w:lang w:val="en-ID"/>
              </w:rPr>
              <w:t>id</w:t>
            </w:r>
            <w:proofErr w:type="spellEnd"/>
            <w:r w:rsidRPr="004A3649">
              <w:rPr>
                <w:rFonts w:ascii="Palatino Linotype" w:hAnsi="Palatino Linotype" w:cs="Calibri Light"/>
                <w:i/>
                <w:iCs/>
                <w:color w:val="212121"/>
                <w:sz w:val="20"/>
                <w:lang w:val="en-ID"/>
              </w:rPr>
              <w:t xml:space="preserve"> al-</w:t>
            </w:r>
            <w:proofErr w:type="spellStart"/>
            <w:r w:rsidRPr="004A3649">
              <w:rPr>
                <w:rFonts w:ascii="Palatino Linotype" w:hAnsi="Palatino Linotype" w:cs="Calibri Light"/>
                <w:i/>
                <w:iCs/>
                <w:color w:val="212121"/>
                <w:sz w:val="20"/>
                <w:lang w:val="en-ID"/>
              </w:rPr>
              <w:t>sharī'ah</w:t>
            </w:r>
            <w:proofErr w:type="spellEnd"/>
            <w:r w:rsidRPr="004A3649">
              <w:rPr>
                <w:rFonts w:ascii="Palatino Linotype" w:hAnsi="Palatino Linotype" w:cs="Calibri Light"/>
                <w:color w:val="212121"/>
                <w:sz w:val="20"/>
                <w:lang w:val="en-ID"/>
              </w:rPr>
              <w:t>, justice, legal certainty, accountability, and good governance principles. Practically, the findings provide policy recommendations for strengthening regulatory harmonization, institutional coordination, supervisory integration, and governance standards to enhance the sustainability and socio-economic impact of Islamic social finance in Indonesia.</w:t>
            </w:r>
          </w:p>
          <w:p w14:paraId="210B2932" w14:textId="4427DFC6" w:rsidR="001E05C6" w:rsidRPr="00A55CEB" w:rsidRDefault="00E53C42" w:rsidP="0074288E">
            <w:pPr>
              <w:widowControl/>
              <w:spacing w:line="216" w:lineRule="auto"/>
              <w:jc w:val="both"/>
              <w:rPr>
                <w:rFonts w:ascii="Palatino Linotype" w:hAnsi="Palatino Linotype" w:cs="Calibri Light"/>
                <w:color w:val="212121"/>
                <w:sz w:val="20"/>
              </w:rPr>
            </w:pPr>
            <w:r w:rsidRPr="00E53C42">
              <w:rPr>
                <w:rFonts w:ascii="Palatino Linotype" w:hAnsi="Palatino Linotype" w:cs="Calibri Light"/>
                <w:color w:val="212121"/>
                <w:sz w:val="20"/>
                <w:lang w:val="id-ID"/>
              </w:rPr>
              <w:t xml:space="preserve"> </w:t>
            </w:r>
          </w:p>
          <w:p w14:paraId="4438221B" w14:textId="77777777" w:rsidR="001E05C6" w:rsidRPr="00A55CEB" w:rsidRDefault="001E05C6" w:rsidP="0074288E">
            <w:pPr>
              <w:widowControl/>
              <w:spacing w:line="216" w:lineRule="auto"/>
              <w:jc w:val="both"/>
              <w:rPr>
                <w:rFonts w:ascii="Palatino Linotype" w:hAnsi="Palatino Linotype" w:cs="Calibri Light"/>
                <w:sz w:val="20"/>
                <w:lang w:val="en-US"/>
              </w:rPr>
            </w:pPr>
          </w:p>
        </w:tc>
      </w:tr>
    </w:tbl>
    <w:p w14:paraId="4F06B0E9" w14:textId="77777777" w:rsidR="001E05C6" w:rsidRPr="00A55CEB" w:rsidRDefault="001E05C6" w:rsidP="0074288E">
      <w:pPr>
        <w:widowControl/>
        <w:spacing w:line="216" w:lineRule="auto"/>
        <w:ind w:left="720" w:hanging="720"/>
        <w:jc w:val="both"/>
        <w:rPr>
          <w:rFonts w:ascii="Palatino Linotype" w:eastAsia="Times New Roman" w:hAnsi="Palatino Linotype" w:cs="Calibri Light"/>
          <w:color w:val="0F4761" w:themeColor="accent1" w:themeShade="BF"/>
          <w:sz w:val="20"/>
          <w:lang w:val="id-ID"/>
        </w:rPr>
      </w:pPr>
    </w:p>
    <w:p w14:paraId="4EBDBBD3" w14:textId="740F1523" w:rsidR="001E05C6" w:rsidRPr="00D310BC" w:rsidRDefault="001E05C6" w:rsidP="0074288E">
      <w:pPr>
        <w:widowControl/>
        <w:spacing w:line="216" w:lineRule="auto"/>
        <w:rPr>
          <w:rFonts w:ascii="Palatino Linotype" w:hAnsi="Palatino Linotype" w:cs="Calibri Light"/>
          <w:b/>
          <w:color w:val="BF4E14" w:themeColor="accent2" w:themeShade="BF"/>
          <w:sz w:val="24"/>
          <w:szCs w:val="24"/>
          <w:lang w:val="id-ID"/>
        </w:rPr>
      </w:pPr>
      <w:r w:rsidRPr="00D310BC">
        <w:rPr>
          <w:rFonts w:ascii="Palatino Linotype" w:hAnsi="Palatino Linotype" w:cs="Calibri Light"/>
          <w:b/>
          <w:color w:val="BF4E14" w:themeColor="accent2" w:themeShade="BF"/>
          <w:sz w:val="24"/>
          <w:szCs w:val="24"/>
          <w:lang w:val="id-ID"/>
        </w:rPr>
        <w:t xml:space="preserve">INTRODUCTION </w:t>
      </w:r>
    </w:p>
    <w:bookmarkEnd w:id="0"/>
    <w:bookmarkEnd w:id="1"/>
    <w:p w14:paraId="607863D3" w14:textId="5FBC1CBB" w:rsidR="00431D89" w:rsidRPr="00431D89" w:rsidRDefault="00431D89" w:rsidP="00431D89">
      <w:pPr>
        <w:spacing w:line="216" w:lineRule="auto"/>
        <w:ind w:firstLine="720"/>
        <w:jc w:val="both"/>
        <w:rPr>
          <w:rFonts w:ascii="Palatino Linotype" w:eastAsia="Palatino Linotype" w:hAnsi="Palatino Linotype" w:cs="Calibri Light"/>
          <w:color w:val="000000"/>
          <w:sz w:val="24"/>
          <w:szCs w:val="24"/>
          <w:lang w:val="id-ID"/>
        </w:rPr>
      </w:pPr>
      <w:r w:rsidRPr="00431D89">
        <w:rPr>
          <w:rFonts w:ascii="Palatino Linotype" w:eastAsia="Palatino Linotype" w:hAnsi="Palatino Linotype" w:cs="Calibri Light"/>
          <w:color w:val="000000"/>
          <w:sz w:val="24"/>
          <w:szCs w:val="24"/>
          <w:lang w:val="id-ID"/>
        </w:rPr>
        <w:t>Legal harmonization has become an increasingly important issue in strengthening the governance of Islamic social finance, particularly in countries with large Muslim populations where zakat, infaq, and waqf constitute strategic instruments for socioeconomic development</w:t>
      </w:r>
      <w:r w:rsidR="00663F62">
        <w:rPr>
          <w:rFonts w:ascii="Palatino Linotype" w:eastAsia="Palatino Linotype" w:hAnsi="Palatino Linotype" w:cs="Calibri Light"/>
          <w:color w:val="000000"/>
          <w:sz w:val="24"/>
          <w:szCs w:val="24"/>
          <w:lang w:val="id-ID"/>
        </w:rPr>
        <w:t xml:space="preserve"> </w:t>
      </w:r>
      <w:r w:rsidR="00663F62">
        <w:rPr>
          <w:rFonts w:ascii="Palatino Linotype" w:eastAsia="Palatino Linotype" w:hAnsi="Palatino Linotype" w:cs="Calibri Light"/>
          <w:color w:val="000000"/>
          <w:sz w:val="24"/>
          <w:szCs w:val="24"/>
          <w:lang w:val="id-ID"/>
        </w:rPr>
        <w:fldChar w:fldCharType="begin" w:fldLock="1"/>
      </w:r>
      <w:r w:rsidR="00663F62">
        <w:rPr>
          <w:rFonts w:ascii="Palatino Linotype" w:eastAsia="Palatino Linotype" w:hAnsi="Palatino Linotype" w:cs="Calibri Light"/>
          <w:color w:val="000000"/>
          <w:sz w:val="24"/>
          <w:szCs w:val="24"/>
          <w:lang w:val="id-ID"/>
        </w:rPr>
        <w:instrText>ADDIN CSL_CITATION {"citationItems":[{"id":"ITEM-1","itemData":{"DOI":"10.31958/juris.v24i1.14637","author":[{"dropping-particle":"","family":"Mustofa","given":"Mustofa","non-dropping-particle":"","parse-names":false,"suffix":""},{"dropping-particle":"","family":"Ahyani","given":"Hisam","non-dropping-particle":"","parse-names":false,"suffix":""},{"dropping-particle":"","family":"Firdaus","given":"Doddy Afandi","non-dropping-particle":"","parse-names":false,"suffix":""},{"dropping-particle":"","family":"Putra","given":"Haris Maiza","non-dropping-particle":"","parse-names":false,"suffix":""},{"dropping-particle":"","family":"Kirin","given":"Arwansyah","non-dropping-particle":"","parse-names":false,"suffix":""},{"dropping-particle":"","family":"Muhammad","given":"Zakiyyu","non-dropping-particle":"","parse-names":false,"suffix":""}],"container-title":"JURIS (Jurnal Ilmiah Syariah)","id":"ITEM-1","issued":{"date-parts":[["2025"]]},"title":"Strengthening Zakat Regulation through the Siyāsah Māliyah Approach: A Constitutional and Legal Analysis of Indonesia and Malaysia","type":"article-journal"},"uris":["http://www.mendeley.com/documents/?uuid=c350b444-cd69-4d71-834a-c90279c2b4ec"]},{"id":"ITEM-2","itemData":{"DOI":"10.21093/mj.v24i1.9419","author":[{"dropping-particle":"","family":"Nashirudin","given":"Muh.","non-dropping-particle":"","parse-names":false,"suffix":""},{"dropping-particle":"","family":"Razali","given":"Ramadhan","non-dropping-particle":"","parse-names":false,"suffix":""},{"dropping-particle":"","family":"Ulfah","given":"Almira Keumala","non-dropping-particle":"","parse-names":false,"suffix":""}],"container-title":"Mazahib","id":"ITEM-2","issued":{"date-parts":[["2025"]]},"title":"Modernizing Zakat and Waqf Management in Indonesia: A Legal And Governance Perspective","type":"article-journal"},"uris":["http://www.mendeley.com/documents/?uuid=0026f2a5-4066-4ee6-b209-59319fc22682"]}],"mendeley":{"formattedCitation":"(Mustofa et al., 2025; Nashirudin et al., 2025)","plainTextFormattedCitation":"(Mustofa et al., 2025; Nashirudin et al., 2025)","previouslyFormattedCitation":"(Mustofa et al., 2025; Nashirudin et al., 2025)"},"properties":{"noteIndex":0},"schema":"https://github.com/citation-style-language/schema/raw/master/csl-citation.json"}</w:instrText>
      </w:r>
      <w:r w:rsidR="00663F62">
        <w:rPr>
          <w:rFonts w:ascii="Palatino Linotype" w:eastAsia="Palatino Linotype" w:hAnsi="Palatino Linotype" w:cs="Calibri Light"/>
          <w:color w:val="000000"/>
          <w:sz w:val="24"/>
          <w:szCs w:val="24"/>
          <w:lang w:val="id-ID"/>
        </w:rPr>
        <w:fldChar w:fldCharType="separate"/>
      </w:r>
      <w:r w:rsidR="00663F62" w:rsidRPr="00663F62">
        <w:rPr>
          <w:rFonts w:ascii="Palatino Linotype" w:eastAsia="Palatino Linotype" w:hAnsi="Palatino Linotype" w:cs="Calibri Light"/>
          <w:noProof/>
          <w:color w:val="000000"/>
          <w:sz w:val="24"/>
          <w:szCs w:val="24"/>
          <w:lang w:val="id-ID"/>
        </w:rPr>
        <w:t xml:space="preserve">(Mustofa et al., 2025; Nashirudin et </w:t>
      </w:r>
      <w:r w:rsidR="00663F62" w:rsidRPr="00663F62">
        <w:rPr>
          <w:rFonts w:ascii="Palatino Linotype" w:eastAsia="Palatino Linotype" w:hAnsi="Palatino Linotype" w:cs="Calibri Light"/>
          <w:noProof/>
          <w:color w:val="000000"/>
          <w:sz w:val="24"/>
          <w:szCs w:val="24"/>
          <w:lang w:val="id-ID"/>
        </w:rPr>
        <w:lastRenderedPageBreak/>
        <w:t>al., 2025)</w:t>
      </w:r>
      <w:r w:rsidR="00663F62">
        <w:rPr>
          <w:rFonts w:ascii="Palatino Linotype" w:eastAsia="Palatino Linotype" w:hAnsi="Palatino Linotype" w:cs="Calibri Light"/>
          <w:color w:val="000000"/>
          <w:sz w:val="24"/>
          <w:szCs w:val="24"/>
          <w:lang w:val="id-ID"/>
        </w:rPr>
        <w:fldChar w:fldCharType="end"/>
      </w:r>
      <w:r w:rsidRPr="00431D89">
        <w:rPr>
          <w:rFonts w:ascii="Palatino Linotype" w:eastAsia="Palatino Linotype" w:hAnsi="Palatino Linotype" w:cs="Calibri Light"/>
          <w:color w:val="000000"/>
          <w:sz w:val="24"/>
          <w:szCs w:val="24"/>
          <w:lang w:val="id-ID"/>
        </w:rPr>
        <w:t>. Despite continuous economic growth in many developing countries, poverty, income inequality, and limited access to productive resources remain persistent challenges that hinder sustainable prosperity</w:t>
      </w:r>
      <w:r w:rsidR="00663F62">
        <w:rPr>
          <w:rFonts w:ascii="Palatino Linotype" w:eastAsia="Palatino Linotype" w:hAnsi="Palatino Linotype" w:cs="Calibri Light"/>
          <w:color w:val="000000"/>
          <w:sz w:val="24"/>
          <w:szCs w:val="24"/>
          <w:lang w:val="id-ID"/>
        </w:rPr>
        <w:t xml:space="preserve"> </w:t>
      </w:r>
      <w:r w:rsidR="00663F62">
        <w:rPr>
          <w:rFonts w:ascii="Palatino Linotype" w:eastAsia="Palatino Linotype" w:hAnsi="Palatino Linotype" w:cs="Calibri Light"/>
          <w:color w:val="000000"/>
          <w:sz w:val="24"/>
          <w:szCs w:val="24"/>
          <w:lang w:val="id-ID"/>
        </w:rPr>
        <w:fldChar w:fldCharType="begin" w:fldLock="1"/>
      </w:r>
      <w:r w:rsidR="00663F62">
        <w:rPr>
          <w:rFonts w:ascii="Palatino Linotype" w:eastAsia="Palatino Linotype" w:hAnsi="Palatino Linotype" w:cs="Calibri Light"/>
          <w:color w:val="000000"/>
          <w:sz w:val="24"/>
          <w:szCs w:val="24"/>
          <w:lang w:val="id-ID"/>
        </w:rPr>
        <w:instrText>ADDIN CSL_CITATION {"citationItems":[{"id":"ITEM-1","itemData":{"DOI":"10.1108/ijoes-12-2022-0317","author":[{"dropping-particle":"","family":"Dirie","given":"K","non-dropping-particle":"","parse-names":false,"suffix":""},{"dropping-particle":"","family":"Alam","given":"Md. Mahmudul","non-dropping-particle":"","parse-names":false,"suffix":""},{"dropping-particle":"","family":"Maamor","given":"Selamah","non-dropping-particle":"","parse-names":false,"suffix":""}],"container-title":"International Journal of Ethics and Systems","id":"ITEM-1","issued":{"date-parts":[["2023"]]},"title":"Islamic social finance for achieving sustainable development goals: a systematic literature review and future research agenda","type":"article-journal"},"uris":["http://www.mendeley.com/documents/?uuid=a91988cd-8a52-4a65-9b08-8525107ee2c1"]},{"id":"ITEM-2","itemData":{"DOI":"10.22373/sjhk.v8i1.19637","author":[{"dropping-particle":"","family":"Fakhruddin","given":"Fakhruddin","non-dropping-particle":"","parse-names":false,"suffix":""},{"dropping-particle":"","family":"Hasan","given":"Sudirman","non-dropping-particle":"","parse-names":false,"suffix":""},{"dropping-particle":"","family":"Firdaus","given":"D","non-dropping-particle":"","parse-names":false,"suffix":""},{"dropping-particle":"","family":"Hidayat","given":"Hakmi","non-dropping-particle":"","parse-names":false,"suffix":""}],"container-title":"Samarah: Jurnal Hukum Keluarga dan Hukum Islam","id":"ITEM-2","issued":{"date-parts":[["2024"]]},"title":"From Fiqh al-Ibadat to Muamalat: Repositioning Zakat Management in Indonesia in the Perspective of Maqā</w:instrText>
      </w:r>
      <w:r w:rsidR="00663F62">
        <w:rPr>
          <w:rFonts w:ascii="Cambria" w:eastAsia="Palatino Linotype" w:hAnsi="Cambria" w:cs="Cambria"/>
          <w:color w:val="000000"/>
          <w:sz w:val="24"/>
          <w:szCs w:val="24"/>
          <w:lang w:val="id-ID"/>
        </w:rPr>
        <w:instrText>ṣ</w:instrText>
      </w:r>
      <w:r w:rsidR="00663F62">
        <w:rPr>
          <w:rFonts w:ascii="Palatino Linotype" w:eastAsia="Palatino Linotype" w:hAnsi="Palatino Linotype" w:cs="Calibri Light"/>
          <w:color w:val="000000"/>
          <w:sz w:val="24"/>
          <w:szCs w:val="24"/>
          <w:lang w:val="id-ID"/>
        </w:rPr>
        <w:instrText>id Al-Sharī’ah","type":"article-journal"},"uris":["http://www.mendeley.com/documents/?uuid=87b5de84-6039-425c-badf-80978e62c8c2"]}],"mendeley":{"formattedCitation":"(Dirie et al., 2023; Fakhruddin et al., 2024)","plainTextFormattedCitation":"(Dirie et al., 2023; Fakhruddin et al., 2024)","previouslyFormattedCitation":"(Dirie et al., 2023; Fakhruddin et al., 2024)"},"properties":{"noteIndex":0},"schema":"https://github.com/citation-style-language/schema/raw/master/csl-citation.json"}</w:instrText>
      </w:r>
      <w:r w:rsidR="00663F62">
        <w:rPr>
          <w:rFonts w:ascii="Palatino Linotype" w:eastAsia="Palatino Linotype" w:hAnsi="Palatino Linotype" w:cs="Calibri Light"/>
          <w:color w:val="000000"/>
          <w:sz w:val="24"/>
          <w:szCs w:val="24"/>
          <w:lang w:val="id-ID"/>
        </w:rPr>
        <w:fldChar w:fldCharType="separate"/>
      </w:r>
      <w:r w:rsidR="00663F62" w:rsidRPr="00663F62">
        <w:rPr>
          <w:rFonts w:ascii="Palatino Linotype" w:eastAsia="Palatino Linotype" w:hAnsi="Palatino Linotype" w:cs="Calibri Light"/>
          <w:noProof/>
          <w:color w:val="000000"/>
          <w:sz w:val="24"/>
          <w:szCs w:val="24"/>
          <w:lang w:val="id-ID"/>
        </w:rPr>
        <w:t>(Dirie et al., 2023; Fakhruddin et al., 2024)</w:t>
      </w:r>
      <w:r w:rsidR="00663F62">
        <w:rPr>
          <w:rFonts w:ascii="Palatino Linotype" w:eastAsia="Palatino Linotype" w:hAnsi="Palatino Linotype" w:cs="Calibri Light"/>
          <w:color w:val="000000"/>
          <w:sz w:val="24"/>
          <w:szCs w:val="24"/>
          <w:lang w:val="id-ID"/>
        </w:rPr>
        <w:fldChar w:fldCharType="end"/>
      </w:r>
      <w:r w:rsidRPr="00431D89">
        <w:rPr>
          <w:rFonts w:ascii="Palatino Linotype" w:eastAsia="Palatino Linotype" w:hAnsi="Palatino Linotype" w:cs="Calibri Light"/>
          <w:color w:val="000000"/>
          <w:sz w:val="24"/>
          <w:szCs w:val="24"/>
          <w:lang w:val="id-ID"/>
        </w:rPr>
        <w:t>. Conventional fiscal policies alone have proven insufficient to address structural inequality because they often emphasize economic expansion rather than equitable wealth distribution</w:t>
      </w:r>
      <w:r w:rsidR="00663F62">
        <w:rPr>
          <w:rFonts w:ascii="Palatino Linotype" w:eastAsia="Palatino Linotype" w:hAnsi="Palatino Linotype" w:cs="Calibri Light"/>
          <w:color w:val="000000"/>
          <w:sz w:val="24"/>
          <w:szCs w:val="24"/>
          <w:lang w:val="id-ID"/>
        </w:rPr>
        <w:t xml:space="preserve"> </w:t>
      </w:r>
      <w:r w:rsidR="00663F62">
        <w:rPr>
          <w:rFonts w:ascii="Palatino Linotype" w:eastAsia="Palatino Linotype" w:hAnsi="Palatino Linotype" w:cs="Calibri Light"/>
          <w:color w:val="000000"/>
          <w:sz w:val="24"/>
          <w:szCs w:val="24"/>
          <w:lang w:val="id-ID"/>
        </w:rPr>
        <w:fldChar w:fldCharType="begin" w:fldLock="1"/>
      </w:r>
      <w:r w:rsidR="00663F62">
        <w:rPr>
          <w:rFonts w:ascii="Palatino Linotype" w:eastAsia="Palatino Linotype" w:hAnsi="Palatino Linotype" w:cs="Calibri Light"/>
          <w:color w:val="000000"/>
          <w:sz w:val="24"/>
          <w:szCs w:val="24"/>
          <w:lang w:val="id-ID"/>
        </w:rPr>
        <w:instrText>ADDIN CSL_CITATION {"citationItems":[{"id":"ITEM-1","itemData":{"DOI":"10.32332/milrev.v4i2.10210","author":[{"dropping-particle":"","family":"Huda","given":"Miftahul","non-dropping-particle":"","parse-names":false,"suffix":""},{"dropping-particle":"","family":"Supriyadi","given":"Aditya Prastian","non-dropping-particle":"","parse-names":false,"suffix":""},{"dropping-particle":"","family":"Ramadhita","given":"","non-dropping-particle":"","parse-names":false,"suffix":""}],"container-title":"MILRev: Metro Islamic Law Review","id":"ITEM-1","issued":{"date-parts":[["2025"]]},"title":"Productive Waqf Law Reform: A Solution to Support Indonesian Local Economy amid Contemporary Global Recession","type":"article-journal"},"uris":["http://www.mendeley.com/documents/?uuid=b5eab326-e00e-41b7-a071-20647cb7aa6a"]},{"id":"ITEM-2","itemData":{"DOI":"10.63332/joph.v5i12.3815","author":[{"dropping-particle":"","family":"Suryanto","given":"A","non-dropping-particle":"","parse-names":false,"suffix":""},{"dropping-particle":"","family":"Kusmayadi","given":"Dedi","non-dropping-particle":"","parse-names":false,"suffix":""},{"dropping-particle":"","family":"Rafiqi","given":"Yusep","non-dropping-particle":"","parse-names":false,"suffix":""},{"dropping-particle":"","family":"Nasrulloh","given":"Agus Ahmad","non-dropping-particle":"","parse-names":false,"suffix":""},{"dropping-particle":"","family":"Wijaya","given":"Tri","non-dropping-particle":"","parse-names":false,"suffix":""}],"container-title":"Journal of Posthumanism","id":"ITEM-2","issued":{"date-parts":[["2025"]]},"title":"Islamic Philanthropy and Social Welfare: Cash Waqf Policy Patterns as Social Funds for State Universities in Indonesia","type":"article-journal"},"uris":["http://www.mendeley.com/documents/?uuid=9126e15d-ebf8-4ac5-97a2-f6f628ad4d78"]}],"mendeley":{"formattedCitation":"(Huda et al., 2025; Suryanto et al., 2025)","plainTextFormattedCitation":"(Huda et al., 2025; Suryanto et al., 2025)","previouslyFormattedCitation":"(Huda et al., 2025; Suryanto et al., 2025)"},"properties":{"noteIndex":0},"schema":"https://github.com/citation-style-language/schema/raw/master/csl-citation.json"}</w:instrText>
      </w:r>
      <w:r w:rsidR="00663F62">
        <w:rPr>
          <w:rFonts w:ascii="Palatino Linotype" w:eastAsia="Palatino Linotype" w:hAnsi="Palatino Linotype" w:cs="Calibri Light"/>
          <w:color w:val="000000"/>
          <w:sz w:val="24"/>
          <w:szCs w:val="24"/>
          <w:lang w:val="id-ID"/>
        </w:rPr>
        <w:fldChar w:fldCharType="separate"/>
      </w:r>
      <w:r w:rsidR="00663F62" w:rsidRPr="00663F62">
        <w:rPr>
          <w:rFonts w:ascii="Palatino Linotype" w:eastAsia="Palatino Linotype" w:hAnsi="Palatino Linotype" w:cs="Calibri Light"/>
          <w:noProof/>
          <w:color w:val="000000"/>
          <w:sz w:val="24"/>
          <w:szCs w:val="24"/>
          <w:lang w:val="id-ID"/>
        </w:rPr>
        <w:t>(Huda et al., 2025; Suryanto et al., 2025)</w:t>
      </w:r>
      <w:r w:rsidR="00663F62">
        <w:rPr>
          <w:rFonts w:ascii="Palatino Linotype" w:eastAsia="Palatino Linotype" w:hAnsi="Palatino Linotype" w:cs="Calibri Light"/>
          <w:color w:val="000000"/>
          <w:sz w:val="24"/>
          <w:szCs w:val="24"/>
          <w:lang w:val="id-ID"/>
        </w:rPr>
        <w:fldChar w:fldCharType="end"/>
      </w:r>
      <w:r w:rsidRPr="00431D89">
        <w:rPr>
          <w:rFonts w:ascii="Palatino Linotype" w:eastAsia="Palatino Linotype" w:hAnsi="Palatino Linotype" w:cs="Calibri Light"/>
          <w:color w:val="000000"/>
          <w:sz w:val="24"/>
          <w:szCs w:val="24"/>
          <w:lang w:val="id-ID"/>
        </w:rPr>
        <w:t>. In contrast, Islamic social finance embodies the principles of justice, solidarity, and social responsibility through the redistribution and productive utilization of wealth for public benefit. International organizations have increasingly recognized that Islamic philanthropy can complement national development strategies by promoting financial inclusion and reducing multidimensional poverty</w:t>
      </w:r>
      <w:r w:rsidR="00663F62">
        <w:rPr>
          <w:rFonts w:ascii="Palatino Linotype" w:eastAsia="Palatino Linotype" w:hAnsi="Palatino Linotype" w:cs="Calibri Light"/>
          <w:color w:val="000000"/>
          <w:sz w:val="24"/>
          <w:szCs w:val="24"/>
          <w:lang w:val="id-ID"/>
        </w:rPr>
        <w:t xml:space="preserve"> </w:t>
      </w:r>
      <w:r w:rsidR="00663F62">
        <w:rPr>
          <w:rFonts w:ascii="Palatino Linotype" w:eastAsia="Palatino Linotype" w:hAnsi="Palatino Linotype" w:cs="Calibri Light"/>
          <w:color w:val="000000"/>
          <w:sz w:val="24"/>
          <w:szCs w:val="24"/>
          <w:lang w:val="id-ID"/>
        </w:rPr>
        <w:fldChar w:fldCharType="begin" w:fldLock="1"/>
      </w:r>
      <w:r w:rsidR="00663F62">
        <w:rPr>
          <w:rFonts w:ascii="Palatino Linotype" w:eastAsia="Palatino Linotype" w:hAnsi="Palatino Linotype" w:cs="Calibri Light"/>
          <w:color w:val="000000"/>
          <w:sz w:val="24"/>
          <w:szCs w:val="24"/>
          <w:lang w:val="id-ID"/>
        </w:rPr>
        <w:instrText>ADDIN CSL_CITATION {"citationItems":[{"id":"ITEM-1","itemData":{"DOI":"10.3390/su15086626","author":[{"dropping-particle":"","family":"Harahap","given":"Burhanudin","non-dropping-particle":"","parse-names":false,"suffix":""},{"dropping-particle":"","family":"Risfandy","given":"Tastaftiyan","non-dropping-particle":"","parse-names":false,"suffix":""},{"dropping-particle":"","family":"Futri","given":"Inas Nurfadia","non-dropping-particle":"","parse-names":false,"suffix":""}],"container-title":"Sustainability","id":"ITEM-1","issued":{"date-parts":[["2023"]]},"title":"Islamic Law, Islamic Finance, and Sustainable Development Goals: A Systematic Literature Review","type":"article-journal"},"uris":["http://www.mendeley.com/documents/?uuid=566f96db-afa6-4d82-ad61-a83caa05d795"]},{"id":"ITEM-2","itemData":{"DOI":"10.18326/ijtihad.v23i1.93-114","author":[{"dropping-particle":"","family":"Zawawi","given":"Zawawi","non-dropping-particle":"","parse-names":false,"suffix":""},{"dropping-particle":"","family":"Yasin","given":"Yuli","non-dropping-particle":"","parse-names":false,"suffix":""},{"dropping-particle":"","family":"Helmy","given":"M","non-dropping-particle":"","parse-names":false,"suffix":""},{"dropping-particle":"","family":"Ma’yuf","given":"Ali","non-dropping-particle":"","parse-names":false,"suffix":""},{"dropping-particle":"","family":"Arwani","given":"Agus","non-dropping-particle":"","parse-names":false,"suffix":""}],"container-title":"Ijtihad : Jurnal Wacana Hukum Islam dan Kemanusiaan","id":"ITEM-2","issued":{"date-parts":[["2023"]]},"title":"Waqf and sustainable development law: models of waqf institutions in the Kingdom of Saudi Arabia and Indonesia","type":"article-journal"},"uris":["http://www.mendeley.com/documents/?uuid=1f5331fd-6204-47b1-b21c-36686c2ddf25"]}],"mendeley":{"formattedCitation":"(Harahap et al., 2023; Zawawi et al., 2023)","plainTextFormattedCitation":"(Harahap et al., 2023; Zawawi et al., 2023)","previouslyFormattedCitation":"(Harahap et al., 2023; Zawawi et al., 2023)"},"properties":{"noteIndex":0},"schema":"https://github.com/citation-style-language/schema/raw/master/csl-citation.json"}</w:instrText>
      </w:r>
      <w:r w:rsidR="00663F62">
        <w:rPr>
          <w:rFonts w:ascii="Palatino Linotype" w:eastAsia="Palatino Linotype" w:hAnsi="Palatino Linotype" w:cs="Calibri Light"/>
          <w:color w:val="000000"/>
          <w:sz w:val="24"/>
          <w:szCs w:val="24"/>
          <w:lang w:val="id-ID"/>
        </w:rPr>
        <w:fldChar w:fldCharType="separate"/>
      </w:r>
      <w:r w:rsidR="00663F62" w:rsidRPr="00663F62">
        <w:rPr>
          <w:rFonts w:ascii="Palatino Linotype" w:eastAsia="Palatino Linotype" w:hAnsi="Palatino Linotype" w:cs="Calibri Light"/>
          <w:noProof/>
          <w:color w:val="000000"/>
          <w:sz w:val="24"/>
          <w:szCs w:val="24"/>
          <w:lang w:val="id-ID"/>
        </w:rPr>
        <w:t>(Harahap et al., 2023; Zawawi et al., 2023)</w:t>
      </w:r>
      <w:r w:rsidR="00663F62">
        <w:rPr>
          <w:rFonts w:ascii="Palatino Linotype" w:eastAsia="Palatino Linotype" w:hAnsi="Palatino Linotype" w:cs="Calibri Light"/>
          <w:color w:val="000000"/>
          <w:sz w:val="24"/>
          <w:szCs w:val="24"/>
          <w:lang w:val="id-ID"/>
        </w:rPr>
        <w:fldChar w:fldCharType="end"/>
      </w:r>
      <w:r w:rsidRPr="00431D89">
        <w:rPr>
          <w:rFonts w:ascii="Palatino Linotype" w:eastAsia="Palatino Linotype" w:hAnsi="Palatino Linotype" w:cs="Calibri Light"/>
          <w:color w:val="000000"/>
          <w:sz w:val="24"/>
          <w:szCs w:val="24"/>
          <w:lang w:val="id-ID"/>
        </w:rPr>
        <w:t>. Consequently, strengthening the legal governance of zakat, infaq, and productive waqf has become essential not only for ensuring compliance with Islamic legal principles but also for enhancing institutional accountability, optimizing resource mobilization, and supporting sustainable community economic transformation within an inclusive legal framework.</w:t>
      </w:r>
    </w:p>
    <w:p w14:paraId="10DF2482" w14:textId="5FD3324F" w:rsidR="00431D89" w:rsidRPr="00431D89" w:rsidRDefault="00431D89" w:rsidP="00431D89">
      <w:pPr>
        <w:spacing w:line="216" w:lineRule="auto"/>
        <w:ind w:firstLine="720"/>
        <w:jc w:val="both"/>
        <w:rPr>
          <w:rFonts w:ascii="Palatino Linotype" w:eastAsia="Palatino Linotype" w:hAnsi="Palatino Linotype" w:cs="Calibri Light"/>
          <w:color w:val="000000"/>
          <w:sz w:val="24"/>
          <w:szCs w:val="24"/>
          <w:lang w:val="id-ID"/>
        </w:rPr>
      </w:pPr>
      <w:r w:rsidRPr="00431D89">
        <w:rPr>
          <w:rFonts w:ascii="Palatino Linotype" w:eastAsia="Palatino Linotype" w:hAnsi="Palatino Linotype" w:cs="Calibri Light"/>
          <w:color w:val="000000"/>
          <w:sz w:val="24"/>
          <w:szCs w:val="24"/>
          <w:lang w:val="id-ID"/>
        </w:rPr>
        <w:t>Although Indonesia possesses enormous potential in Islamic social finance, the realization of its socioeconomic benefits remains far below expectations due to various legal and institutional challenges. The management of zakat, infaq, and productive waqf continues to face fragmented governance, inconsistent regulatory implementation, overlapping institutional authority, and limited coordination among relevant stakeholders</w:t>
      </w:r>
      <w:r w:rsidR="00663F62">
        <w:rPr>
          <w:rFonts w:ascii="Palatino Linotype" w:eastAsia="Palatino Linotype" w:hAnsi="Palatino Linotype" w:cs="Calibri Light"/>
          <w:color w:val="000000"/>
          <w:sz w:val="24"/>
          <w:szCs w:val="24"/>
          <w:lang w:val="id-ID"/>
        </w:rPr>
        <w:t xml:space="preserve"> </w:t>
      </w:r>
      <w:r w:rsidR="00663F62">
        <w:rPr>
          <w:rFonts w:ascii="Palatino Linotype" w:eastAsia="Palatino Linotype" w:hAnsi="Palatino Linotype" w:cs="Calibri Light"/>
          <w:color w:val="000000"/>
          <w:sz w:val="24"/>
          <w:szCs w:val="24"/>
          <w:lang w:val="id-ID"/>
        </w:rPr>
        <w:fldChar w:fldCharType="begin" w:fldLock="1"/>
      </w:r>
      <w:r w:rsidR="00663F62">
        <w:rPr>
          <w:rFonts w:ascii="Palatino Linotype" w:eastAsia="Palatino Linotype" w:hAnsi="Palatino Linotype" w:cs="Calibri Light"/>
          <w:color w:val="000000"/>
          <w:sz w:val="24"/>
          <w:szCs w:val="24"/>
          <w:lang w:val="id-ID"/>
        </w:rPr>
        <w:instrText>ADDIN CSL_CITATION {"citationItems":[{"id":"ITEM-1","itemData":{"DOI":"10.23971/el-mashlahah.v15i1.9029","author":[{"dropping-particle":"","family":"Siddiq","given":"Achmad","non-dropping-particle":"","parse-names":false,"suffix":""},{"dropping-particle":"","family":"Hariyanto","given":"","non-dropping-particle":"","parse-names":false,"suffix":""},{"dropping-particle":"","family":"Maula","given":"Ismatul","non-dropping-particle":"","parse-names":false,"suffix":""},{"dropping-particle":"","family":"Meidina","given":"A","non-dropping-particle":"","parse-names":false,"suffix":""},{"dropping-particle":"","family":"Arafah","given":"Siti","non-dropping-particle":"","parse-names":false,"suffix":""}],"container-title":"El-Mashlahah","id":"ITEM-1","issued":{"date-parts":[["2025"]]},"title":"Reconstructing Waqf Share Policies: A Maqashid Sharia Approach with Insights from Indonesia","type":"article-journal"},"uris":["http://www.mendeley.com/documents/?uuid=5a5d5f92-aaa8-4bcc-b7f3-6b40719ebee0"]},{"id":"ITEM-2","itemData":{"DOI":"10.21580/ahkam.2025.35.1.23721","author":[{"dropping-particle":"","family":"Ridho","given":"Hilmi","non-dropping-particle":"","parse-names":false,"suffix":""},{"dropping-particle":"","family":"Sodiqin","given":"Ali","non-dropping-particle":"","parse-names":false,"suffix":""},{"dropping-particle":"","family":"Mujib","given":"Abdul","non-dropping-particle":"","parse-names":false,"suffix":""}],"container-title":"Al-Ahkam","id":"ITEM-2","issued":{"date-parts":[["2025"]]},"title":"The Evolution of Islamic Philanthropy in Indonesia’s Digital Age (2016–2023)","type":"article-journal"},"uris":["http://www.mendeley.com/documents/?uuid=59beddfb-ab1a-4163-837c-dd86838fbc94"]}],"mendeley":{"formattedCitation":"(Ridho et al., 2025; Siddiq et al., 2025)","plainTextFormattedCitation":"(Ridho et al., 2025; Siddiq et al., 2025)","previouslyFormattedCitation":"(Ridho et al., 2025; Siddiq et al., 2025)"},"properties":{"noteIndex":0},"schema":"https://github.com/citation-style-language/schema/raw/master/csl-citation.json"}</w:instrText>
      </w:r>
      <w:r w:rsidR="00663F62">
        <w:rPr>
          <w:rFonts w:ascii="Palatino Linotype" w:eastAsia="Palatino Linotype" w:hAnsi="Palatino Linotype" w:cs="Calibri Light"/>
          <w:color w:val="000000"/>
          <w:sz w:val="24"/>
          <w:szCs w:val="24"/>
          <w:lang w:val="id-ID"/>
        </w:rPr>
        <w:fldChar w:fldCharType="separate"/>
      </w:r>
      <w:r w:rsidR="00663F62" w:rsidRPr="00663F62">
        <w:rPr>
          <w:rFonts w:ascii="Palatino Linotype" w:eastAsia="Palatino Linotype" w:hAnsi="Palatino Linotype" w:cs="Calibri Light"/>
          <w:noProof/>
          <w:color w:val="000000"/>
          <w:sz w:val="24"/>
          <w:szCs w:val="24"/>
          <w:lang w:val="id-ID"/>
        </w:rPr>
        <w:t>(Ridho et al., 2025; Siddiq et al., 2025)</w:t>
      </w:r>
      <w:r w:rsidR="00663F62">
        <w:rPr>
          <w:rFonts w:ascii="Palatino Linotype" w:eastAsia="Palatino Linotype" w:hAnsi="Palatino Linotype" w:cs="Calibri Light"/>
          <w:color w:val="000000"/>
          <w:sz w:val="24"/>
          <w:szCs w:val="24"/>
          <w:lang w:val="id-ID"/>
        </w:rPr>
        <w:fldChar w:fldCharType="end"/>
      </w:r>
      <w:r w:rsidRPr="00431D89">
        <w:rPr>
          <w:rFonts w:ascii="Palatino Linotype" w:eastAsia="Palatino Linotype" w:hAnsi="Palatino Linotype" w:cs="Calibri Light"/>
          <w:color w:val="000000"/>
          <w:sz w:val="24"/>
          <w:szCs w:val="24"/>
          <w:lang w:val="id-ID"/>
        </w:rPr>
        <w:t>. Existing legal instruments have provided separate regulatory foundations for zakat and waqf administration; however, these regulations have not yet established an integrated governance system capable of maximizing the productive utilization of Islamic philanthropic assets</w:t>
      </w:r>
      <w:r w:rsidR="00663F62">
        <w:rPr>
          <w:rFonts w:ascii="Palatino Linotype" w:eastAsia="Palatino Linotype" w:hAnsi="Palatino Linotype" w:cs="Calibri Light"/>
          <w:color w:val="000000"/>
          <w:sz w:val="24"/>
          <w:szCs w:val="24"/>
          <w:lang w:val="id-ID"/>
        </w:rPr>
        <w:t xml:space="preserve"> </w:t>
      </w:r>
      <w:r w:rsidR="00663F62">
        <w:rPr>
          <w:rFonts w:ascii="Palatino Linotype" w:eastAsia="Palatino Linotype" w:hAnsi="Palatino Linotype" w:cs="Calibri Light"/>
          <w:color w:val="000000"/>
          <w:sz w:val="24"/>
          <w:szCs w:val="24"/>
          <w:lang w:val="id-ID"/>
        </w:rPr>
        <w:fldChar w:fldCharType="begin" w:fldLock="1"/>
      </w:r>
      <w:r w:rsidR="00663F62">
        <w:rPr>
          <w:rFonts w:ascii="Palatino Linotype" w:eastAsia="Palatino Linotype" w:hAnsi="Palatino Linotype" w:cs="Calibri Light"/>
          <w:color w:val="000000"/>
          <w:sz w:val="24"/>
          <w:szCs w:val="24"/>
          <w:lang w:val="id-ID"/>
        </w:rPr>
        <w:instrText>ADDIN CSL_CITATION {"citationItems":[{"id":"ITEM-1","itemData":{"DOI":"10.24090/volksgeist.v8i1.12590","author":[{"dropping-particle":"","family":"Hadi","given":"Muhammad","non-dropping-particle":"","parse-names":false,"suffix":""},{"dropping-particle":"","family":"Rum","given":"Jalaluddin","non-dropping-particle":"","parse-names":false,"suffix":""},{"dropping-particle":"","family":"Maguni","given":"Wahyudin","non-dropping-particle":"","parse-names":false,"suffix":""},{"dropping-particle":"","family":"Radiamoda","given":"A","non-dropping-particle":"","parse-names":false,"suffix":""}],"container-title":"Volksgeist: Jurnal Ilmu Hukum dan Konstitusi","id":"ITEM-1","issued":{"date-parts":[["2025"]]},"title":"Toward a Holistic Legal Framework for Effective Waqf Implementation: Integrating Islamic Socio-Economic Models","type":"article-journal"},"uris":["http://www.mendeley.com/documents/?uuid=1e04c536-aebe-4a1e-a2ea-e9f3382dd4f5"]},{"id":"ITEM-2","itemData":{"DOI":"10.53955/jhcls.v4i2.204","author":[{"dropping-particle":"","family":"Mukhlishin","given":"Mukhlishin","non-dropping-particle":"","parse-names":false,"suffix":""},{"dropping-particle":"","family":"Wahab","given":"Abdul","non-dropping-particle":"","parse-names":false,"suffix":""},{"dropping-particle":"","family":"Setiaji","given":"B","non-dropping-particle":"","parse-names":false,"suffix":""},{"dropping-particle":"","family":"Tazhdinov","given":"Magomed","non-dropping-particle":"","parse-names":false,"suffix":""}],"container-title":"Journal of Human Rights, Culture and Legal System","id":"ITEM-2","issued":{"date-parts":[["2024"]]},"title":"Zakat Maal Management and Regulation Practices: Evidence from Malaysia, Turki and Indonesia","type":"article-journal"},"uris":["http://www.mendeley.com/documents/?uuid=b3e0cf12-47a4-43dc-ac19-2f5a38edbe33"]}],"mendeley":{"formattedCitation":"(Hadi et al., 2025; Mukhlishin et al., 2024)","plainTextFormattedCitation":"(Hadi et al., 2025; Mukhlishin et al., 2024)","previouslyFormattedCitation":"(Hadi et al., 2025; Mukhlishin et al., 2024)"},"properties":{"noteIndex":0},"schema":"https://github.com/citation-style-language/schema/raw/master/csl-citation.json"}</w:instrText>
      </w:r>
      <w:r w:rsidR="00663F62">
        <w:rPr>
          <w:rFonts w:ascii="Palatino Linotype" w:eastAsia="Palatino Linotype" w:hAnsi="Palatino Linotype" w:cs="Calibri Light"/>
          <w:color w:val="000000"/>
          <w:sz w:val="24"/>
          <w:szCs w:val="24"/>
          <w:lang w:val="id-ID"/>
        </w:rPr>
        <w:fldChar w:fldCharType="separate"/>
      </w:r>
      <w:r w:rsidR="00663F62" w:rsidRPr="00663F62">
        <w:rPr>
          <w:rFonts w:ascii="Palatino Linotype" w:eastAsia="Palatino Linotype" w:hAnsi="Palatino Linotype" w:cs="Calibri Light"/>
          <w:noProof/>
          <w:color w:val="000000"/>
          <w:sz w:val="24"/>
          <w:szCs w:val="24"/>
          <w:lang w:val="id-ID"/>
        </w:rPr>
        <w:t>(Hadi et al., 2025; Mukhlishin et al., 2024)</w:t>
      </w:r>
      <w:r w:rsidR="00663F62">
        <w:rPr>
          <w:rFonts w:ascii="Palatino Linotype" w:eastAsia="Palatino Linotype" w:hAnsi="Palatino Linotype" w:cs="Calibri Light"/>
          <w:color w:val="000000"/>
          <w:sz w:val="24"/>
          <w:szCs w:val="24"/>
          <w:lang w:val="id-ID"/>
        </w:rPr>
        <w:fldChar w:fldCharType="end"/>
      </w:r>
      <w:r w:rsidRPr="00431D89">
        <w:rPr>
          <w:rFonts w:ascii="Palatino Linotype" w:eastAsia="Palatino Linotype" w:hAnsi="Palatino Linotype" w:cs="Calibri Light"/>
          <w:color w:val="000000"/>
          <w:sz w:val="24"/>
          <w:szCs w:val="24"/>
          <w:lang w:val="id-ID"/>
        </w:rPr>
        <w:t>. Consequently, many zakat programs remain predominantly consumptive, while productive waqf initiatives are still concentrated in a relatively small number of professionally managed institutions. The absence of comprehensive legal harmonization also creates uncertainty regarding institutional responsibilities, accountability mechanisms, supervision, and collaborative policy implementation</w:t>
      </w:r>
      <w:r w:rsidR="00663F62">
        <w:rPr>
          <w:rFonts w:ascii="Palatino Linotype" w:eastAsia="Palatino Linotype" w:hAnsi="Palatino Linotype" w:cs="Calibri Light"/>
          <w:color w:val="000000"/>
          <w:sz w:val="24"/>
          <w:szCs w:val="24"/>
          <w:lang w:val="id-ID"/>
        </w:rPr>
        <w:t xml:space="preserve"> </w:t>
      </w:r>
      <w:r w:rsidR="00663F62">
        <w:rPr>
          <w:rFonts w:ascii="Palatino Linotype" w:eastAsia="Palatino Linotype" w:hAnsi="Palatino Linotype" w:cs="Calibri Light"/>
          <w:color w:val="000000"/>
          <w:sz w:val="24"/>
          <w:szCs w:val="24"/>
          <w:lang w:val="id-ID"/>
        </w:rPr>
        <w:fldChar w:fldCharType="begin" w:fldLock="1"/>
      </w:r>
      <w:r w:rsidR="00663F62">
        <w:rPr>
          <w:rFonts w:ascii="Palatino Linotype" w:eastAsia="Palatino Linotype" w:hAnsi="Palatino Linotype" w:cs="Calibri Light"/>
          <w:color w:val="000000"/>
          <w:sz w:val="24"/>
          <w:szCs w:val="24"/>
          <w:lang w:val="id-ID"/>
        </w:rPr>
        <w:instrText>ADDIN CSL_CITATION {"citationItems":[{"id":"ITEM-1","itemData":{"DOI":"10.22373/ujhk.v7i1.22186","author":[{"dropping-particle":"","family":"Choiri","given":"Muttaqin","non-dropping-particle":"","parse-names":false,"suffix":""},{"dropping-particle":"","family":"Ardyansyah","given":"Farid","non-dropping-particle":"","parse-names":false,"suffix":""}],"container-title":"El-Usrah: Jurnal Hukum Keluarga","id":"ITEM-1","issued":{"date-parts":[["2024"]]},"title":"The Politics of Waqf Practice in Pesantren Kyai Families in Bangkalan Madura, Indonesia","type":"article-journal"},"uris":["http://www.mendeley.com/documents/?uuid=5cb17a6b-da92-45bb-aec5-903f1004d7ea"]},{"id":"ITEM-2","itemData":{"DOI":"10.1016/j.heliyon.2023.e15783","author":[{"dropping-particle":"","family":"Lestari","given":"Y","non-dropping-particle":"","parse-names":false,"suffix":""},{"dropping-particle":"","family":"Sukmana","given":"R","non-dropping-particle":"","parse-names":false,"suffix":""},{"dropping-particle":"","family":"Beik","given":"I","non-dropping-particle":"","parse-names":false,"suffix":""},{"dropping-particle":"","family":"Sholihin","given":"M","non-dropping-particle":"","parse-names":false,"suffix":""}],"container-title":"Heliyon","id":"ITEM-2","issued":{"date-parts":[["2023"]]},"title":"The development of national waqf index in Indonesia: A fuzzy AHP approach","type":"article-journal","volume":"9"},"uris":["http://www.mendeley.com/documents/?uuid=0517d2cd-adad-479c-9874-8529e2aeee66"]}],"mendeley":{"formattedCitation":"(Choiri &amp; Ardyansyah, 2024; Lestari et al., 2023)","plainTextFormattedCitation":"(Choiri &amp; Ardyansyah, 2024; Lestari et al., 2023)","previouslyFormattedCitation":"(Choiri &amp; Ardyansyah, 2024; Lestari et al., 2023)"},"properties":{"noteIndex":0},"schema":"https://github.com/citation-style-language/schema/raw/master/csl-citation.json"}</w:instrText>
      </w:r>
      <w:r w:rsidR="00663F62">
        <w:rPr>
          <w:rFonts w:ascii="Palatino Linotype" w:eastAsia="Palatino Linotype" w:hAnsi="Palatino Linotype" w:cs="Calibri Light"/>
          <w:color w:val="000000"/>
          <w:sz w:val="24"/>
          <w:szCs w:val="24"/>
          <w:lang w:val="id-ID"/>
        </w:rPr>
        <w:fldChar w:fldCharType="separate"/>
      </w:r>
      <w:r w:rsidR="00663F62" w:rsidRPr="00663F62">
        <w:rPr>
          <w:rFonts w:ascii="Palatino Linotype" w:eastAsia="Palatino Linotype" w:hAnsi="Palatino Linotype" w:cs="Calibri Light"/>
          <w:noProof/>
          <w:color w:val="000000"/>
          <w:sz w:val="24"/>
          <w:szCs w:val="24"/>
          <w:lang w:val="id-ID"/>
        </w:rPr>
        <w:t>(Choiri &amp; Ardyansyah, 2024; Lestari et al., 2023)</w:t>
      </w:r>
      <w:r w:rsidR="00663F62">
        <w:rPr>
          <w:rFonts w:ascii="Palatino Linotype" w:eastAsia="Palatino Linotype" w:hAnsi="Palatino Linotype" w:cs="Calibri Light"/>
          <w:color w:val="000000"/>
          <w:sz w:val="24"/>
          <w:szCs w:val="24"/>
          <w:lang w:val="id-ID"/>
        </w:rPr>
        <w:fldChar w:fldCharType="end"/>
      </w:r>
      <w:r w:rsidRPr="00431D89">
        <w:rPr>
          <w:rFonts w:ascii="Palatino Linotype" w:eastAsia="Palatino Linotype" w:hAnsi="Palatino Linotype" w:cs="Calibri Light"/>
          <w:color w:val="000000"/>
          <w:sz w:val="24"/>
          <w:szCs w:val="24"/>
          <w:lang w:val="id-ID"/>
        </w:rPr>
        <w:t>. These conditions ultimately reduce public confidence, limit institutional effectiveness, and constrain the contribution of Islamic social finance to sustainable economic transformation and long-term community welfare.</w:t>
      </w:r>
    </w:p>
    <w:p w14:paraId="5FDB7E0B" w14:textId="78DCE2A1" w:rsidR="001E05C6" w:rsidRDefault="00431D89" w:rsidP="00431D89">
      <w:pPr>
        <w:spacing w:line="216" w:lineRule="auto"/>
        <w:ind w:firstLine="720"/>
        <w:jc w:val="both"/>
        <w:rPr>
          <w:rFonts w:ascii="Palatino Linotype" w:eastAsia="Palatino Linotype" w:hAnsi="Palatino Linotype" w:cs="Calibri Light"/>
          <w:color w:val="000000"/>
          <w:sz w:val="24"/>
          <w:szCs w:val="24"/>
          <w:lang w:val="id-ID"/>
        </w:rPr>
      </w:pPr>
      <w:r w:rsidRPr="00431D89">
        <w:rPr>
          <w:rFonts w:ascii="Palatino Linotype" w:eastAsia="Palatino Linotype" w:hAnsi="Palatino Linotype" w:cs="Calibri Light"/>
          <w:color w:val="000000"/>
          <w:sz w:val="24"/>
          <w:szCs w:val="24"/>
          <w:lang w:val="id-ID"/>
        </w:rPr>
        <w:t>The existing field phenomenon further illustrates a substantial gap between the legal objectives established by Islamic economic law and their practical implementation within Indonesia's Islamic social finance institutions</w:t>
      </w:r>
      <w:r w:rsidR="00663F62">
        <w:rPr>
          <w:rFonts w:ascii="Palatino Linotype" w:eastAsia="Palatino Linotype" w:hAnsi="Palatino Linotype" w:cs="Calibri Light"/>
          <w:color w:val="000000"/>
          <w:sz w:val="24"/>
          <w:szCs w:val="24"/>
          <w:lang w:val="id-ID"/>
        </w:rPr>
        <w:t xml:space="preserve"> </w:t>
      </w:r>
      <w:r w:rsidR="00663F62">
        <w:rPr>
          <w:rFonts w:ascii="Palatino Linotype" w:eastAsia="Palatino Linotype" w:hAnsi="Palatino Linotype" w:cs="Calibri Light"/>
          <w:color w:val="000000"/>
          <w:sz w:val="24"/>
          <w:szCs w:val="24"/>
          <w:lang w:val="id-ID"/>
        </w:rPr>
        <w:fldChar w:fldCharType="begin" w:fldLock="1"/>
      </w:r>
      <w:r w:rsidR="00663F62">
        <w:rPr>
          <w:rFonts w:ascii="Palatino Linotype" w:eastAsia="Palatino Linotype" w:hAnsi="Palatino Linotype" w:cs="Calibri Light"/>
          <w:color w:val="000000"/>
          <w:sz w:val="24"/>
          <w:szCs w:val="24"/>
          <w:lang w:val="id-ID"/>
        </w:rPr>
        <w:instrText>ADDIN CSL_CITATION {"citationItems":[{"id":"ITEM-1","itemData":{"DOI":"10.31958/juris.v25i1.13147","author":[{"dropping-particle":"","family":"Asyiqin","given":"Istianah Zainal","non-dropping-particle":"","parse-names":false,"suffix":""},{"dropping-particle":"","family":"Hamsin","given":"M","non-dropping-particle":"","parse-names":false,"suffix":""},{"dropping-particle":"","family":"Hisyam","given":"Ayesha Binti Abul","non-dropping-particle":"","parse-names":false,"suffix":""}],"container-title":"JURIS (Jurnal Ilmiah Syariah)","id":"ITEM-1","issued":{"date-parts":[["2026"]]},"title":"From Hybrid Contracts to Waqf–Musyārakah-Based Takaful: A Maqā</w:instrText>
      </w:r>
      <w:r w:rsidR="00663F62">
        <w:rPr>
          <w:rFonts w:ascii="Cambria" w:eastAsia="Palatino Linotype" w:hAnsi="Cambria" w:cs="Cambria"/>
          <w:color w:val="000000"/>
          <w:sz w:val="24"/>
          <w:szCs w:val="24"/>
          <w:lang w:val="id-ID"/>
        </w:rPr>
        <w:instrText>ṣ</w:instrText>
      </w:r>
      <w:r w:rsidR="00663F62">
        <w:rPr>
          <w:rFonts w:ascii="Palatino Linotype" w:eastAsia="Palatino Linotype" w:hAnsi="Palatino Linotype" w:cs="Calibri Light"/>
          <w:color w:val="000000"/>
          <w:sz w:val="24"/>
          <w:szCs w:val="24"/>
          <w:lang w:val="id-ID"/>
        </w:rPr>
        <w:instrText>id al-Syarī‘ah Comparative Legal Analysis of Indonesia and Malaysia","type":"article-journal"},"uris":["http://www.mendeley.com/documents/?uuid=1e47a470-92e2-426a-a4ef-7a1f43474812"]},{"id":"ITEM-2","itemData":{"DOI":"10.18326/ijtihad.v24i2.167-191","author":[{"dropping-particle":"","family":"Humaidi","given":"M","non-dropping-particle":"","parse-names":false,"suffix":""},{"dropping-particle":"","family":"Hariyanto","given":"H","non-dropping-particle":"","parse-names":false,"suffix":""},{"dropping-particle":"","family":"Azizah","given":"Mabarroh","non-dropping-particle":"","parse-names":false,"suffix":""}],"container-title":"Ijtihad : Jurnal Wacana Hukum Islam dan Kemanusiaan","id":"ITEM-2","issued":{"date-parts":[["2024"]]},"title":"Green philanthropy: Islamic activism on Indonesia’s environmental democracy","type":"article-journal"},"uris":["http://www.mendeley.com/documents/?uuid=d4f3e38f-00d8-449d-8def-41b8bf1f600e"]}],"mendeley":{"formattedCitation":"(Asyiqin et al., 2026; Humaidi et al., 2024)","plainTextFormattedCitation":"(Asyiqin et al., 2026; Humaidi et al., 2024)","previouslyFormattedCitation":"(Asyiqin et al., 2026; Humaidi et al., 2024)"},"properties":{"noteIndex":0},"schema":"https://github.com/citation-style-language/schema/raw/master/csl-citation.json"}</w:instrText>
      </w:r>
      <w:r w:rsidR="00663F62">
        <w:rPr>
          <w:rFonts w:ascii="Palatino Linotype" w:eastAsia="Palatino Linotype" w:hAnsi="Palatino Linotype" w:cs="Calibri Light"/>
          <w:color w:val="000000"/>
          <w:sz w:val="24"/>
          <w:szCs w:val="24"/>
          <w:lang w:val="id-ID"/>
        </w:rPr>
        <w:fldChar w:fldCharType="separate"/>
      </w:r>
      <w:r w:rsidR="00663F62" w:rsidRPr="00663F62">
        <w:rPr>
          <w:rFonts w:ascii="Palatino Linotype" w:eastAsia="Palatino Linotype" w:hAnsi="Palatino Linotype" w:cs="Calibri Light"/>
          <w:noProof/>
          <w:color w:val="000000"/>
          <w:sz w:val="24"/>
          <w:szCs w:val="24"/>
          <w:lang w:val="id-ID"/>
        </w:rPr>
        <w:t>(Asyiqin et al., 2026; Humaidi et al., 2024)</w:t>
      </w:r>
      <w:r w:rsidR="00663F62">
        <w:rPr>
          <w:rFonts w:ascii="Palatino Linotype" w:eastAsia="Palatino Linotype" w:hAnsi="Palatino Linotype" w:cs="Calibri Light"/>
          <w:color w:val="000000"/>
          <w:sz w:val="24"/>
          <w:szCs w:val="24"/>
          <w:lang w:val="id-ID"/>
        </w:rPr>
        <w:fldChar w:fldCharType="end"/>
      </w:r>
      <w:r w:rsidRPr="00431D89">
        <w:rPr>
          <w:rFonts w:ascii="Palatino Linotype" w:eastAsia="Palatino Linotype" w:hAnsi="Palatino Linotype" w:cs="Calibri Light"/>
          <w:color w:val="000000"/>
          <w:sz w:val="24"/>
          <w:szCs w:val="24"/>
          <w:lang w:val="id-ID"/>
        </w:rPr>
        <w:t>. Indonesia has enacted Law Number 23 of 2011 concerning Zakat Management, Law Number 41 of 2004 concerning Waqf, and Government Regulation Number 42 of 2006, complemented by various regulations issued by the National Zakat Agency (BAZNAS), the Indonesian Waqf Board (BWI), and fatwas of the National Sharia Council (DSN-MUI)</w:t>
      </w:r>
      <w:r w:rsidR="00663F62">
        <w:rPr>
          <w:rFonts w:ascii="Palatino Linotype" w:eastAsia="Palatino Linotype" w:hAnsi="Palatino Linotype" w:cs="Calibri Light"/>
          <w:color w:val="000000"/>
          <w:sz w:val="24"/>
          <w:szCs w:val="24"/>
          <w:lang w:val="id-ID"/>
        </w:rPr>
        <w:t xml:space="preserve"> </w:t>
      </w:r>
      <w:r w:rsidR="00663F62">
        <w:rPr>
          <w:rFonts w:ascii="Palatino Linotype" w:eastAsia="Palatino Linotype" w:hAnsi="Palatino Linotype" w:cs="Calibri Light"/>
          <w:color w:val="000000"/>
          <w:sz w:val="24"/>
          <w:szCs w:val="24"/>
          <w:lang w:val="id-ID"/>
        </w:rPr>
        <w:fldChar w:fldCharType="begin" w:fldLock="1"/>
      </w:r>
      <w:r w:rsidR="00663F62">
        <w:rPr>
          <w:rFonts w:ascii="Palatino Linotype" w:eastAsia="Palatino Linotype" w:hAnsi="Palatino Linotype" w:cs="Calibri Light"/>
          <w:color w:val="000000"/>
          <w:sz w:val="24"/>
          <w:szCs w:val="24"/>
          <w:lang w:val="id-ID"/>
        </w:rPr>
        <w:instrText>ADDIN CSL_CITATION {"citationItems":[{"id":"ITEM-1","itemData":{"DOI":"10.1002/pad.70075","author":[{"dropping-particle":"","family":"Wardiyanto","given":"Bintoro","non-dropping-particle":"","parse-names":false,"suffix":""},{"dropping-particle":"","family":"Hariani","given":"N","non-dropping-particle":"","parse-names":false,"suffix":""},{"dropping-particle":"","family":"Soegiono","given":"Agie Nugroho","non-dropping-particle":"","parse-names":false,"suffix":""}],"container-title":"Public Administration and Development","id":"ITEM-1","issued":{"date-parts":[["2026"]]},"title":"Faith‐Driven Alternative Social Financing: Governing Social Provision Through Islamic‐Based Communities in Indonesia","type":"article-journal"},"uris":["http://www.mendeley.com/documents/?uuid=d36faa50-4a11-47e0-92e4-6e8e8246a188"]},{"id":"ITEM-2","itemData":{"DOI":"10.32332/milrev.v4i2.11104","author":[{"dropping-particle":"","family":"Contemporary","given":"A","non-dropping-particle":"","parse-names":false,"suffix":""},{"dropping-particle":"","family":"Fiqh","given":"Environmental","non-dropping-particle":"","parse-names":false,"suffix":""},{"dropping-particle":"","family":"Maskun","given":"","non-dropping-particle":"","parse-names":false,"suffix":""},{"dropping-particle":"","family":"Ratnawati","given":"","non-dropping-particle":"","parse-names":false,"suffix":""},{"dropping-particle":"","family":"Wiranti","given":"","non-dropping-particle":"","parse-names":false,"suffix":""},{"dropping-particle":"","family":"Asriyani","given":"","non-dropping-particle":"","parse-names":false,"suffix":""},{"dropping-particle":"","family":"Aslan","given":"Jamal","non-dropping-particle":"","parse-names":false,"suffix":""}],"container-title":"MILRev: Metro Islamic Law Review","id":"ITEM-2","issued":{"date-parts":[["2025"]]},"title":"Legal Framework Model for Sustainable Solid Waste Management in Indonesia: A Contemporary Environmental Fiqh Perspective","type":"article-journal"},"uris":["http://www.mendeley.com/documents/?uuid=32f61938-81f1-4732-9d8d-22cd927c6329"]}],"mendeley":{"formattedCitation":"(Contemporary et al., 2025; Wardiyanto et al., 2026)","plainTextFormattedCitation":"(Contemporary et al., 2025; Wardiyanto et al., 2026)","previouslyFormattedCitation":"(Contemporary et al., 2025; Wardiyanto et al., 2026)"},"properties":{"noteIndex":0},"schema":"https://github.com/citation-style-language/schema/raw/master/csl-citation.json"}</w:instrText>
      </w:r>
      <w:r w:rsidR="00663F62">
        <w:rPr>
          <w:rFonts w:ascii="Palatino Linotype" w:eastAsia="Palatino Linotype" w:hAnsi="Palatino Linotype" w:cs="Calibri Light"/>
          <w:color w:val="000000"/>
          <w:sz w:val="24"/>
          <w:szCs w:val="24"/>
          <w:lang w:val="id-ID"/>
        </w:rPr>
        <w:fldChar w:fldCharType="separate"/>
      </w:r>
      <w:r w:rsidR="00663F62" w:rsidRPr="00663F62">
        <w:rPr>
          <w:rFonts w:ascii="Palatino Linotype" w:eastAsia="Palatino Linotype" w:hAnsi="Palatino Linotype" w:cs="Calibri Light"/>
          <w:noProof/>
          <w:color w:val="000000"/>
          <w:sz w:val="24"/>
          <w:szCs w:val="24"/>
          <w:lang w:val="id-ID"/>
        </w:rPr>
        <w:t>(Contemporary et al., 2025; Wardiyanto et al., 2026)</w:t>
      </w:r>
      <w:r w:rsidR="00663F62">
        <w:rPr>
          <w:rFonts w:ascii="Palatino Linotype" w:eastAsia="Palatino Linotype" w:hAnsi="Palatino Linotype" w:cs="Calibri Light"/>
          <w:color w:val="000000"/>
          <w:sz w:val="24"/>
          <w:szCs w:val="24"/>
          <w:lang w:val="id-ID"/>
        </w:rPr>
        <w:fldChar w:fldCharType="end"/>
      </w:r>
      <w:r w:rsidRPr="00431D89">
        <w:rPr>
          <w:rFonts w:ascii="Palatino Linotype" w:eastAsia="Palatino Linotype" w:hAnsi="Palatino Linotype" w:cs="Calibri Light"/>
          <w:color w:val="000000"/>
          <w:sz w:val="24"/>
          <w:szCs w:val="24"/>
          <w:lang w:val="id-ID"/>
        </w:rPr>
        <w:t xml:space="preserve">. Nevertheless, productive management of zakat, infaq, and waqf remains uneven across regions because institutional capacity, governance quality, legal interpretation, and inter-agency collaboration vary considerably. In many cases, waqf assets continue to </w:t>
      </w:r>
      <w:r w:rsidRPr="00431D89">
        <w:rPr>
          <w:rFonts w:ascii="Palatino Linotype" w:eastAsia="Palatino Linotype" w:hAnsi="Palatino Linotype" w:cs="Calibri Light"/>
          <w:color w:val="000000"/>
          <w:sz w:val="24"/>
          <w:szCs w:val="24"/>
          <w:lang w:val="id-ID"/>
        </w:rPr>
        <w:lastRenderedPageBreak/>
        <w:t>be utilized primarily for traditional religious purposes without generating sustainable economic returns, while productive zakat programs are implemented independently rather than through integrated financing schemes. This phenomenon demonstrates that the principal challenge is no longer the absence of legal regulations but the need for stronger legal harmonization capable of integrating Islamic legal principles with national governance mechanisms to achieve sustainable community economic transformation.</w:t>
      </w:r>
    </w:p>
    <w:p w14:paraId="107D469C" w14:textId="3C3F6BB6" w:rsidR="00431D89" w:rsidRPr="00431D89" w:rsidRDefault="00431D89" w:rsidP="00431D89">
      <w:pPr>
        <w:spacing w:line="216" w:lineRule="auto"/>
        <w:ind w:firstLine="720"/>
        <w:jc w:val="both"/>
        <w:rPr>
          <w:rFonts w:ascii="Palatino Linotype" w:eastAsia="Palatino Linotype" w:hAnsi="Palatino Linotype" w:cs="Calibri Light"/>
          <w:color w:val="000000"/>
          <w:sz w:val="24"/>
          <w:szCs w:val="24"/>
          <w:lang w:val="en-ID"/>
        </w:rPr>
      </w:pPr>
      <w:r w:rsidRPr="00431D89">
        <w:rPr>
          <w:rFonts w:ascii="Palatino Linotype" w:eastAsia="Palatino Linotype" w:hAnsi="Palatino Linotype" w:cs="Calibri Light"/>
          <w:color w:val="000000"/>
          <w:sz w:val="24"/>
          <w:szCs w:val="24"/>
          <w:lang w:val="en-ID"/>
        </w:rPr>
        <w:t xml:space="preserve">Recent studies have extensively examined the role of zakat, </w:t>
      </w:r>
      <w:proofErr w:type="spellStart"/>
      <w:r w:rsidRPr="00431D89">
        <w:rPr>
          <w:rFonts w:ascii="Palatino Linotype" w:eastAsia="Palatino Linotype" w:hAnsi="Palatino Linotype" w:cs="Calibri Light"/>
          <w:color w:val="000000"/>
          <w:sz w:val="24"/>
          <w:szCs w:val="24"/>
          <w:lang w:val="en-ID"/>
        </w:rPr>
        <w:t>infaq</w:t>
      </w:r>
      <w:proofErr w:type="spellEnd"/>
      <w:r w:rsidRPr="00431D89">
        <w:rPr>
          <w:rFonts w:ascii="Palatino Linotype" w:eastAsia="Palatino Linotype" w:hAnsi="Palatino Linotype" w:cs="Calibri Light"/>
          <w:color w:val="000000"/>
          <w:sz w:val="24"/>
          <w:szCs w:val="24"/>
          <w:lang w:val="en-ID"/>
        </w:rPr>
        <w:t>, and waqf as instruments for poverty alleviation, socioeconomic empowerment, and sustainable development. Existing literature generally concludes that productive zakat contributes to increasing household income, strengthening micro-enterprises, and improving social welfare, while productive waqf supports education, healthcare, infrastructure, and community-based economic development</w:t>
      </w:r>
      <w:r w:rsidR="00663F62">
        <w:rPr>
          <w:rFonts w:ascii="Palatino Linotype" w:eastAsia="Palatino Linotype" w:hAnsi="Palatino Linotype" w:cs="Calibri Light"/>
          <w:color w:val="000000"/>
          <w:sz w:val="24"/>
          <w:szCs w:val="24"/>
          <w:lang w:val="en-ID"/>
        </w:rPr>
        <w:t xml:space="preserve"> </w:t>
      </w:r>
      <w:r w:rsidR="00663F62">
        <w:rPr>
          <w:rFonts w:ascii="Palatino Linotype" w:eastAsia="Palatino Linotype" w:hAnsi="Palatino Linotype" w:cs="Calibri Light"/>
          <w:color w:val="000000"/>
          <w:sz w:val="24"/>
          <w:szCs w:val="24"/>
          <w:lang w:val="en-ID"/>
        </w:rPr>
        <w:fldChar w:fldCharType="begin" w:fldLock="1"/>
      </w:r>
      <w:r w:rsidR="00663F62">
        <w:rPr>
          <w:rFonts w:ascii="Palatino Linotype" w:eastAsia="Palatino Linotype" w:hAnsi="Palatino Linotype" w:cs="Calibri Light"/>
          <w:color w:val="000000"/>
          <w:sz w:val="24"/>
          <w:szCs w:val="24"/>
          <w:lang w:val="en-ID"/>
        </w:rPr>
        <w:instrText>ADDIN CSL_CITATION {"citationItems":[{"id":"ITEM-1","itemData":{"DOI":"10.32350/jitc.141.14","author":[{"dropping-particle":"","family":"Article","given":"Qr","non-dropping-particle":"","parse-names":false,"suffix":""},{"dropping-particle":"","family":"Saputra","given":"Mujahiddin Sahran","non-dropping-particle":"","parse-names":false,"suffix":""},{"dropping-particle":"","family":"Tanjung","given":"Yurisna","non-dropping-particle":"","parse-names":false,"suffix":""},{"dropping-particle":"","family":"Yurisna","given":"Mujahiddin","non-dropping-particle":"","parse-names":false,"suffix":""},{"dropping-particle":"","family":"Tanjung","given":"","non-dropping-particle":"","parse-names":false,"suffix":""}],"container-title":"Journal of Islamic Thought and Civilization","id":"ITEM-1","issued":{"date-parts":[["2024"]]},"title":"Enhancing Sustainability through Agricultural Zakāt -Based Philanthropy Movement: A Comprehensive Study on Social Welfare Capital","type":"article-journal"},"uris":["http://www.mendeley.com/documents/?uuid=f4aed6f8-9290-477f-8188-cd3e814fa6e6"]}],"mendeley":{"formattedCitation":"(Article et al., 2024)","plainTextFormattedCitation":"(Article et al., 2024)","previouslyFormattedCitation":"(Article et al., 2024)"},"properties":{"noteIndex":0},"schema":"https://github.com/citation-style-language/schema/raw/master/csl-citation.json"}</w:instrText>
      </w:r>
      <w:r w:rsidR="00663F62">
        <w:rPr>
          <w:rFonts w:ascii="Palatino Linotype" w:eastAsia="Palatino Linotype" w:hAnsi="Palatino Linotype" w:cs="Calibri Light"/>
          <w:color w:val="000000"/>
          <w:sz w:val="24"/>
          <w:szCs w:val="24"/>
          <w:lang w:val="en-ID"/>
        </w:rPr>
        <w:fldChar w:fldCharType="separate"/>
      </w:r>
      <w:r w:rsidR="00663F62" w:rsidRPr="00663F62">
        <w:rPr>
          <w:rFonts w:ascii="Palatino Linotype" w:eastAsia="Palatino Linotype" w:hAnsi="Palatino Linotype" w:cs="Calibri Light"/>
          <w:noProof/>
          <w:color w:val="000000"/>
          <w:sz w:val="24"/>
          <w:szCs w:val="24"/>
          <w:lang w:val="en-ID"/>
        </w:rPr>
        <w:t>(Article et al., 2024)</w:t>
      </w:r>
      <w:r w:rsidR="00663F62">
        <w:rPr>
          <w:rFonts w:ascii="Palatino Linotype" w:eastAsia="Palatino Linotype" w:hAnsi="Palatino Linotype" w:cs="Calibri Light"/>
          <w:color w:val="000000"/>
          <w:sz w:val="24"/>
          <w:szCs w:val="24"/>
          <w:lang w:val="en-ID"/>
        </w:rPr>
        <w:fldChar w:fldCharType="end"/>
      </w:r>
      <w:r w:rsidRPr="00431D89">
        <w:rPr>
          <w:rFonts w:ascii="Palatino Linotype" w:eastAsia="Palatino Linotype" w:hAnsi="Palatino Linotype" w:cs="Calibri Light"/>
          <w:color w:val="000000"/>
          <w:sz w:val="24"/>
          <w:szCs w:val="24"/>
          <w:lang w:val="en-ID"/>
        </w:rPr>
        <w:t xml:space="preserve">. Other scholars have emphasized institutional governance, financial accountability, transparency, digital innovation, and good governance as essential determinants of effective Islamic social finance management. From a legal perspective, previous studies have </w:t>
      </w:r>
      <w:proofErr w:type="spellStart"/>
      <w:r w:rsidRPr="00431D89">
        <w:rPr>
          <w:rFonts w:ascii="Palatino Linotype" w:eastAsia="Palatino Linotype" w:hAnsi="Palatino Linotype" w:cs="Calibri Light"/>
          <w:color w:val="000000"/>
          <w:sz w:val="24"/>
          <w:szCs w:val="24"/>
          <w:lang w:val="en-ID"/>
        </w:rPr>
        <w:t>analyzed</w:t>
      </w:r>
      <w:proofErr w:type="spellEnd"/>
      <w:r w:rsidRPr="00431D89">
        <w:rPr>
          <w:rFonts w:ascii="Palatino Linotype" w:eastAsia="Palatino Linotype" w:hAnsi="Palatino Linotype" w:cs="Calibri Light"/>
          <w:color w:val="000000"/>
          <w:sz w:val="24"/>
          <w:szCs w:val="24"/>
          <w:lang w:val="en-ID"/>
        </w:rPr>
        <w:t xml:space="preserve"> the implementation of Law Number 23 of 2011 concerning Zakat Management, Law Number 41 of 2004 concerning Waqf, and several implementing regulations governing Islamic philanthropic institutions</w:t>
      </w:r>
      <w:r w:rsidR="00663F62">
        <w:rPr>
          <w:rFonts w:ascii="Palatino Linotype" w:eastAsia="Palatino Linotype" w:hAnsi="Palatino Linotype" w:cs="Calibri Light"/>
          <w:color w:val="000000"/>
          <w:sz w:val="24"/>
          <w:szCs w:val="24"/>
          <w:lang w:val="en-ID"/>
        </w:rPr>
        <w:t xml:space="preserve"> </w:t>
      </w:r>
      <w:r w:rsidR="00663F62">
        <w:rPr>
          <w:rFonts w:ascii="Palatino Linotype" w:eastAsia="Palatino Linotype" w:hAnsi="Palatino Linotype" w:cs="Calibri Light"/>
          <w:color w:val="000000"/>
          <w:sz w:val="24"/>
          <w:szCs w:val="24"/>
          <w:lang w:val="en-ID"/>
        </w:rPr>
        <w:fldChar w:fldCharType="begin" w:fldLock="1"/>
      </w:r>
      <w:r w:rsidR="00663F62">
        <w:rPr>
          <w:rFonts w:ascii="Palatino Linotype" w:eastAsia="Palatino Linotype" w:hAnsi="Palatino Linotype" w:cs="Calibri Light"/>
          <w:color w:val="000000"/>
          <w:sz w:val="24"/>
          <w:szCs w:val="24"/>
          <w:lang w:val="en-ID"/>
        </w:rPr>
        <w:instrText>ADDIN CSL_CITATION {"citationItems":[{"id":"ITEM-1","itemData":{"DOI":"10.3390/su17093805","author":[{"dropping-particle":"","family":"Elmahgop","given":"F","non-dropping-particle":"","parse-names":false,"suffix":""},{"dropping-particle":"","family":"Alsulami","given":"Faizah","non-dropping-particle":"","parse-names":false,"suffix":""},{"dropping-particle":"","family":"Mohammed","given":"M","non-dropping-particle":"","parse-names":false,"suffix":""},{"dropping-particle":"","family":"Abdel-Gadir","given":"S","non-dropping-particle":"","parse-names":false,"suffix":""},{"dropping-particle":"","family":"Elhassan","given":"Tomader","non-dropping-particle":"","parse-names":false,"suffix":""}],"container-title":"Sustainability","id":"ITEM-1","issued":{"date-parts":[["2025"]]},"title":"The Socio-Economic Impacts of Waqf Investment Funds as a Model for Sustainable Financing in Saudi Arabia","type":"article-journal"},"uris":["http://www.mendeley.com/documents/?uuid=cd1a7708-8017-4d4f-87e4-8c4e2335a501"]}],"mendeley":{"formattedCitation":"(Elmahgop et al., 2025)","plainTextFormattedCitation":"(Elmahgop et al., 2025)","previouslyFormattedCitation":"(Elmahgop et al., 2025)"},"properties":{"noteIndex":0},"schema":"https://github.com/citation-style-language/schema/raw/master/csl-citation.json"}</w:instrText>
      </w:r>
      <w:r w:rsidR="00663F62">
        <w:rPr>
          <w:rFonts w:ascii="Palatino Linotype" w:eastAsia="Palatino Linotype" w:hAnsi="Palatino Linotype" w:cs="Calibri Light"/>
          <w:color w:val="000000"/>
          <w:sz w:val="24"/>
          <w:szCs w:val="24"/>
          <w:lang w:val="en-ID"/>
        </w:rPr>
        <w:fldChar w:fldCharType="separate"/>
      </w:r>
      <w:r w:rsidR="00663F62" w:rsidRPr="00663F62">
        <w:rPr>
          <w:rFonts w:ascii="Palatino Linotype" w:eastAsia="Palatino Linotype" w:hAnsi="Palatino Linotype" w:cs="Calibri Light"/>
          <w:noProof/>
          <w:color w:val="000000"/>
          <w:sz w:val="24"/>
          <w:szCs w:val="24"/>
          <w:lang w:val="en-ID"/>
        </w:rPr>
        <w:t>(Elmahgop et al., 2025)</w:t>
      </w:r>
      <w:r w:rsidR="00663F62">
        <w:rPr>
          <w:rFonts w:ascii="Palatino Linotype" w:eastAsia="Palatino Linotype" w:hAnsi="Palatino Linotype" w:cs="Calibri Light"/>
          <w:color w:val="000000"/>
          <w:sz w:val="24"/>
          <w:szCs w:val="24"/>
          <w:lang w:val="en-ID"/>
        </w:rPr>
        <w:fldChar w:fldCharType="end"/>
      </w:r>
      <w:r w:rsidRPr="00431D89">
        <w:rPr>
          <w:rFonts w:ascii="Palatino Linotype" w:eastAsia="Palatino Linotype" w:hAnsi="Palatino Linotype" w:cs="Calibri Light"/>
          <w:color w:val="000000"/>
          <w:sz w:val="24"/>
          <w:szCs w:val="24"/>
          <w:lang w:val="en-ID"/>
        </w:rPr>
        <w:t xml:space="preserve">. These studies have significantly enriched the discourse on Islamic social finance governance. Nevertheless, most investigations examine zakat, </w:t>
      </w:r>
      <w:proofErr w:type="spellStart"/>
      <w:r w:rsidRPr="00431D89">
        <w:rPr>
          <w:rFonts w:ascii="Palatino Linotype" w:eastAsia="Palatino Linotype" w:hAnsi="Palatino Linotype" w:cs="Calibri Light"/>
          <w:color w:val="000000"/>
          <w:sz w:val="24"/>
          <w:szCs w:val="24"/>
          <w:lang w:val="en-ID"/>
        </w:rPr>
        <w:t>infaq</w:t>
      </w:r>
      <w:proofErr w:type="spellEnd"/>
      <w:r w:rsidRPr="00431D89">
        <w:rPr>
          <w:rFonts w:ascii="Palatino Linotype" w:eastAsia="Palatino Linotype" w:hAnsi="Palatino Linotype" w:cs="Calibri Light"/>
          <w:color w:val="000000"/>
          <w:sz w:val="24"/>
          <w:szCs w:val="24"/>
          <w:lang w:val="en-ID"/>
        </w:rPr>
        <w:t>, and waqf independently rather than positioning them within an integrated legal governance framework. Furthermore, existing legal studies predominantly evaluate regulatory compliance or institutional performance without comprehensively assessing how harmonization between Islamic economic law and Indonesian positive law influences sustainable community economic transformation.</w:t>
      </w:r>
    </w:p>
    <w:p w14:paraId="310A8020" w14:textId="02406A5A" w:rsidR="00431D89" w:rsidRPr="00431D89" w:rsidRDefault="00431D89" w:rsidP="00431D89">
      <w:pPr>
        <w:spacing w:line="216" w:lineRule="auto"/>
        <w:ind w:firstLine="720"/>
        <w:jc w:val="both"/>
        <w:rPr>
          <w:rFonts w:ascii="Palatino Linotype" w:eastAsia="Palatino Linotype" w:hAnsi="Palatino Linotype" w:cs="Calibri Light"/>
          <w:color w:val="000000"/>
          <w:sz w:val="24"/>
          <w:szCs w:val="24"/>
          <w:lang w:val="en-ID"/>
        </w:rPr>
      </w:pPr>
      <w:r w:rsidRPr="00431D89">
        <w:rPr>
          <w:rFonts w:ascii="Palatino Linotype" w:eastAsia="Palatino Linotype" w:hAnsi="Palatino Linotype" w:cs="Calibri Light"/>
          <w:color w:val="000000"/>
          <w:sz w:val="24"/>
          <w:szCs w:val="24"/>
          <w:lang w:val="en-ID"/>
        </w:rPr>
        <w:t>Another important limitation of previous studies lies in their fragmented analytical perspective concerning legal governance. Most normative legal research focuses on interpreting statutory provisions, whereas empirical studies primarily evaluate institutional effectiveness, public trust, or financial performance</w:t>
      </w:r>
      <w:r w:rsidR="00663F62">
        <w:rPr>
          <w:rFonts w:ascii="Palatino Linotype" w:eastAsia="Palatino Linotype" w:hAnsi="Palatino Linotype" w:cs="Calibri Light"/>
          <w:color w:val="000000"/>
          <w:sz w:val="24"/>
          <w:szCs w:val="24"/>
          <w:lang w:val="en-ID"/>
        </w:rPr>
        <w:t xml:space="preserve"> </w:t>
      </w:r>
      <w:r w:rsidR="00663F62">
        <w:rPr>
          <w:rFonts w:ascii="Palatino Linotype" w:eastAsia="Palatino Linotype" w:hAnsi="Palatino Linotype" w:cs="Calibri Light"/>
          <w:color w:val="000000"/>
          <w:sz w:val="24"/>
          <w:szCs w:val="24"/>
          <w:lang w:val="en-ID"/>
        </w:rPr>
        <w:fldChar w:fldCharType="begin" w:fldLock="1"/>
      </w:r>
      <w:r w:rsidR="00663F62">
        <w:rPr>
          <w:rFonts w:ascii="Palatino Linotype" w:eastAsia="Palatino Linotype" w:hAnsi="Palatino Linotype" w:cs="Calibri Light"/>
          <w:color w:val="000000"/>
          <w:sz w:val="24"/>
          <w:szCs w:val="24"/>
          <w:lang w:val="en-ID"/>
        </w:rPr>
        <w:instrText>ADDIN CSL_CITATION {"citationItems":[{"id":"ITEM-1","itemData":{"DOI":"10.24090/volksgeist.v9i1.15472","author":[{"dropping-particle":"","family":"Maghfirah","given":"Maghfirah","non-dropping-particle":"","parse-names":false,"suffix":""},{"dropping-particle":"","family":"Maulidizen","given":"Ahmad","non-dropping-particle":"","parse-names":false,"suffix":""},{"dropping-particle":"","family":"Rizapoor","given":"Habiburrahman","non-dropping-particle":"","parse-names":false,"suffix":""}],"container-title":"Volksgeist: Jurnal Ilmu Hukum dan Konstitusi","id":"ITEM-1","issued":{"date-parts":[["2026"]]},"title":"Assessing the Alignment of Zakat Allocation with the Sustainable Development Goals: An Empirical Analysis of Poverty and Education Outcomes","type":"article-journal"},"uris":["http://www.mendeley.com/documents/?uuid=de234580-a47f-4c73-b343-f401a9db1a84"]}],"mendeley":{"formattedCitation":"(Maghfirah et al., 2026)","plainTextFormattedCitation":"(Maghfirah et al., 2026)","previouslyFormattedCitation":"(Maghfirah et al., 2026)"},"properties":{"noteIndex":0},"schema":"https://github.com/citation-style-language/schema/raw/master/csl-citation.json"}</w:instrText>
      </w:r>
      <w:r w:rsidR="00663F62">
        <w:rPr>
          <w:rFonts w:ascii="Palatino Linotype" w:eastAsia="Palatino Linotype" w:hAnsi="Palatino Linotype" w:cs="Calibri Light"/>
          <w:color w:val="000000"/>
          <w:sz w:val="24"/>
          <w:szCs w:val="24"/>
          <w:lang w:val="en-ID"/>
        </w:rPr>
        <w:fldChar w:fldCharType="separate"/>
      </w:r>
      <w:r w:rsidR="00663F62" w:rsidRPr="00663F62">
        <w:rPr>
          <w:rFonts w:ascii="Palatino Linotype" w:eastAsia="Palatino Linotype" w:hAnsi="Palatino Linotype" w:cs="Calibri Light"/>
          <w:noProof/>
          <w:color w:val="000000"/>
          <w:sz w:val="24"/>
          <w:szCs w:val="24"/>
          <w:lang w:val="en-ID"/>
        </w:rPr>
        <w:t>(Maghfirah et al., 2026)</w:t>
      </w:r>
      <w:r w:rsidR="00663F62">
        <w:rPr>
          <w:rFonts w:ascii="Palatino Linotype" w:eastAsia="Palatino Linotype" w:hAnsi="Palatino Linotype" w:cs="Calibri Light"/>
          <w:color w:val="000000"/>
          <w:sz w:val="24"/>
          <w:szCs w:val="24"/>
          <w:lang w:val="en-ID"/>
        </w:rPr>
        <w:fldChar w:fldCharType="end"/>
      </w:r>
      <w:r w:rsidRPr="00431D89">
        <w:rPr>
          <w:rFonts w:ascii="Palatino Linotype" w:eastAsia="Palatino Linotype" w:hAnsi="Palatino Linotype" w:cs="Calibri Light"/>
          <w:color w:val="000000"/>
          <w:sz w:val="24"/>
          <w:szCs w:val="24"/>
          <w:lang w:val="en-ID"/>
        </w:rPr>
        <w:t xml:space="preserve">. Consequently, limited attention has been devoted to examining the interaction between legal norms, institutional governance, and policy coordination as interconnected components of Islamic social finance. Likewise, comparative analyses integrating the principles of </w:t>
      </w:r>
      <w:proofErr w:type="spellStart"/>
      <w:r w:rsidRPr="00431D89">
        <w:rPr>
          <w:rFonts w:ascii="Palatino Linotype" w:eastAsia="Palatino Linotype" w:hAnsi="Palatino Linotype" w:cs="Calibri Light"/>
          <w:i/>
          <w:iCs/>
          <w:color w:val="000000"/>
          <w:sz w:val="24"/>
          <w:szCs w:val="24"/>
          <w:lang w:val="en-ID"/>
        </w:rPr>
        <w:t>maqā</w:t>
      </w:r>
      <w:r w:rsidRPr="00431D89">
        <w:rPr>
          <w:rFonts w:ascii="Cambria" w:eastAsia="Palatino Linotype" w:hAnsi="Cambria" w:cs="Cambria"/>
          <w:i/>
          <w:iCs/>
          <w:color w:val="000000"/>
          <w:sz w:val="24"/>
          <w:szCs w:val="24"/>
          <w:lang w:val="en-ID"/>
        </w:rPr>
        <w:t>ṣ</w:t>
      </w:r>
      <w:r w:rsidRPr="00431D89">
        <w:rPr>
          <w:rFonts w:ascii="Palatino Linotype" w:eastAsia="Palatino Linotype" w:hAnsi="Palatino Linotype" w:cs="Calibri Light"/>
          <w:i/>
          <w:iCs/>
          <w:color w:val="000000"/>
          <w:sz w:val="24"/>
          <w:szCs w:val="24"/>
          <w:lang w:val="en-ID"/>
        </w:rPr>
        <w:t>id</w:t>
      </w:r>
      <w:proofErr w:type="spellEnd"/>
      <w:r w:rsidRPr="00431D89">
        <w:rPr>
          <w:rFonts w:ascii="Palatino Linotype" w:eastAsia="Palatino Linotype" w:hAnsi="Palatino Linotype" w:cs="Calibri Light"/>
          <w:i/>
          <w:iCs/>
          <w:color w:val="000000"/>
          <w:sz w:val="24"/>
          <w:szCs w:val="24"/>
          <w:lang w:val="en-ID"/>
        </w:rPr>
        <w:t xml:space="preserve"> al-</w:t>
      </w:r>
      <w:proofErr w:type="spellStart"/>
      <w:r w:rsidRPr="00431D89">
        <w:rPr>
          <w:rFonts w:ascii="Palatino Linotype" w:eastAsia="Palatino Linotype" w:hAnsi="Palatino Linotype" w:cs="Calibri Light"/>
          <w:i/>
          <w:iCs/>
          <w:color w:val="000000"/>
          <w:sz w:val="24"/>
          <w:szCs w:val="24"/>
          <w:lang w:val="en-ID"/>
        </w:rPr>
        <w:t>syarī'ah</w:t>
      </w:r>
      <w:proofErr w:type="spellEnd"/>
      <w:r w:rsidRPr="00431D89">
        <w:rPr>
          <w:rFonts w:ascii="Palatino Linotype" w:eastAsia="Palatino Linotype" w:hAnsi="Palatino Linotype" w:cs="Calibri Light"/>
          <w:color w:val="000000"/>
          <w:sz w:val="24"/>
          <w:szCs w:val="24"/>
          <w:lang w:val="en-ID"/>
        </w:rPr>
        <w:t xml:space="preserve"> with the structure of Indonesian positive law remain relatively scarce, despite their significance in strengthening legal certainty and institutional accountability. Existing scholarship also provides insufficient discussion regarding regulatory synchronization among BAZNAS, the Indonesian Waqf Board (BWI), the Ministry of Religious Affairs, and other relevant stakeholders responsible for Islamic social finance governance</w:t>
      </w:r>
      <w:r w:rsidR="00663F62">
        <w:rPr>
          <w:rFonts w:ascii="Palatino Linotype" w:eastAsia="Palatino Linotype" w:hAnsi="Palatino Linotype" w:cs="Calibri Light"/>
          <w:color w:val="000000"/>
          <w:sz w:val="24"/>
          <w:szCs w:val="24"/>
          <w:lang w:val="en-ID"/>
        </w:rPr>
        <w:t xml:space="preserve"> </w:t>
      </w:r>
      <w:r w:rsidR="00663F62">
        <w:rPr>
          <w:rFonts w:ascii="Palatino Linotype" w:eastAsia="Palatino Linotype" w:hAnsi="Palatino Linotype" w:cs="Calibri Light"/>
          <w:color w:val="000000"/>
          <w:sz w:val="24"/>
          <w:szCs w:val="24"/>
          <w:lang w:val="en-ID"/>
        </w:rPr>
        <w:fldChar w:fldCharType="begin" w:fldLock="1"/>
      </w:r>
      <w:r w:rsidR="00663F62">
        <w:rPr>
          <w:rFonts w:ascii="Palatino Linotype" w:eastAsia="Palatino Linotype" w:hAnsi="Palatino Linotype" w:cs="Calibri Light"/>
          <w:color w:val="000000"/>
          <w:sz w:val="24"/>
          <w:szCs w:val="24"/>
          <w:lang w:val="en-ID"/>
        </w:rPr>
        <w:instrText>ADDIN CSL_CITATION {"citationItems":[{"id":"ITEM-1","itemData":{"DOI":"10.1108/ijoes-03-2023-0044","author":[{"dropping-particle":"","family":"Akhter","given":"A","non-dropping-particle":"","parse-names":false,"suffix":""},{"dropping-particle":"","family":"Javed","given":"Mohd Yousuf","non-dropping-particle":"","parse-names":false,"suffix":""},{"dropping-particle":"","family":"Akhter","given":"J","non-dropping-particle":"","parse-names":false,"suffix":""}],"container-title":"International Journal of Ethics and Systems","id":"ITEM-1","issued":{"date-parts":[["2023"]]},"title":"Research trends in the field of Islamic social finance: a bibliometric analysis from 1914 to 2022","type":"article-journal"},"uris":["http://www.mendeley.com/documents/?uuid=4c87fd3b-25f0-4b59-ba34-7ae9ab422517"]},{"id":"ITEM-2","itemData":{"DOI":"10.22373/sjhk.v8i2.22925","author":[{"dropping-particle":"","family":"Ali","given":"A","non-dropping-particle":"","parse-names":false,"suffix":""}],"container-title":"Samarah: Jurnal Hukum Keluarga dan Hukum Islam","id":"ITEM-2","issued":{"date-parts":[["2024"]]},"title":"Community-based Economic Development and Partnership Cooperation: The Economics Strategy for Prosperity of the Ummah","type":"article-journal"},"uris":["http://www.mendeley.com/documents/?uuid=e726a604-e78c-41e5-add0-85236202a241"]}],"mendeley":{"formattedCitation":"(Akhter et al., 2023; Ali, 2024)","plainTextFormattedCitation":"(Akhter et al., 2023; Ali, 2024)","previouslyFormattedCitation":"(Akhter et al., 2023; Ali, 2024)"},"properties":{"noteIndex":0},"schema":"https://github.com/citation-style-language/schema/raw/master/csl-citation.json"}</w:instrText>
      </w:r>
      <w:r w:rsidR="00663F62">
        <w:rPr>
          <w:rFonts w:ascii="Palatino Linotype" w:eastAsia="Palatino Linotype" w:hAnsi="Palatino Linotype" w:cs="Calibri Light"/>
          <w:color w:val="000000"/>
          <w:sz w:val="24"/>
          <w:szCs w:val="24"/>
          <w:lang w:val="en-ID"/>
        </w:rPr>
        <w:fldChar w:fldCharType="separate"/>
      </w:r>
      <w:r w:rsidR="00663F62" w:rsidRPr="00663F62">
        <w:rPr>
          <w:rFonts w:ascii="Palatino Linotype" w:eastAsia="Palatino Linotype" w:hAnsi="Palatino Linotype" w:cs="Calibri Light"/>
          <w:noProof/>
          <w:color w:val="000000"/>
          <w:sz w:val="24"/>
          <w:szCs w:val="24"/>
          <w:lang w:val="en-ID"/>
        </w:rPr>
        <w:t>(Akhter et al., 2023; Ali, 2024)</w:t>
      </w:r>
      <w:r w:rsidR="00663F62">
        <w:rPr>
          <w:rFonts w:ascii="Palatino Linotype" w:eastAsia="Palatino Linotype" w:hAnsi="Palatino Linotype" w:cs="Calibri Light"/>
          <w:color w:val="000000"/>
          <w:sz w:val="24"/>
          <w:szCs w:val="24"/>
          <w:lang w:val="en-ID"/>
        </w:rPr>
        <w:fldChar w:fldCharType="end"/>
      </w:r>
      <w:r w:rsidRPr="00431D89">
        <w:rPr>
          <w:rFonts w:ascii="Palatino Linotype" w:eastAsia="Palatino Linotype" w:hAnsi="Palatino Linotype" w:cs="Calibri Light"/>
          <w:color w:val="000000"/>
          <w:sz w:val="24"/>
          <w:szCs w:val="24"/>
          <w:lang w:val="en-ID"/>
        </w:rPr>
        <w:t xml:space="preserve">. This research therefore addresses an important gap by positioning legal harmonization as the central analytical framework through which Islamic legal principles and national legislation are integrated to establish coherent governance capable of maximizing productive zakat, </w:t>
      </w:r>
      <w:proofErr w:type="spellStart"/>
      <w:r w:rsidRPr="00431D89">
        <w:rPr>
          <w:rFonts w:ascii="Palatino Linotype" w:eastAsia="Palatino Linotype" w:hAnsi="Palatino Linotype" w:cs="Calibri Light"/>
          <w:color w:val="000000"/>
          <w:sz w:val="24"/>
          <w:szCs w:val="24"/>
          <w:lang w:val="en-ID"/>
        </w:rPr>
        <w:t>infaq</w:t>
      </w:r>
      <w:proofErr w:type="spellEnd"/>
      <w:r w:rsidRPr="00431D89">
        <w:rPr>
          <w:rFonts w:ascii="Palatino Linotype" w:eastAsia="Palatino Linotype" w:hAnsi="Palatino Linotype" w:cs="Calibri Light"/>
          <w:color w:val="000000"/>
          <w:sz w:val="24"/>
          <w:szCs w:val="24"/>
          <w:lang w:val="en-ID"/>
        </w:rPr>
        <w:t>, and waqf for sustainable community economic transformation.</w:t>
      </w:r>
    </w:p>
    <w:p w14:paraId="1E1530CE" w14:textId="77777777" w:rsidR="00431D89" w:rsidRPr="00431D89" w:rsidRDefault="00431D89" w:rsidP="00431D89">
      <w:pPr>
        <w:spacing w:line="216" w:lineRule="auto"/>
        <w:ind w:firstLine="720"/>
        <w:jc w:val="both"/>
        <w:rPr>
          <w:rFonts w:ascii="Palatino Linotype" w:eastAsia="Palatino Linotype" w:hAnsi="Palatino Linotype" w:cs="Calibri Light"/>
          <w:color w:val="000000"/>
          <w:sz w:val="24"/>
          <w:szCs w:val="24"/>
          <w:lang w:val="en-ID"/>
        </w:rPr>
      </w:pPr>
      <w:r w:rsidRPr="00431D89">
        <w:rPr>
          <w:rFonts w:ascii="Palatino Linotype" w:eastAsia="Palatino Linotype" w:hAnsi="Palatino Linotype" w:cs="Calibri Light"/>
          <w:color w:val="000000"/>
          <w:sz w:val="24"/>
          <w:szCs w:val="24"/>
          <w:lang w:val="en-ID"/>
        </w:rPr>
        <w:t xml:space="preserve">The present study offers a novel contribution by proposing legal </w:t>
      </w:r>
      <w:r w:rsidRPr="00431D89">
        <w:rPr>
          <w:rFonts w:ascii="Palatino Linotype" w:eastAsia="Palatino Linotype" w:hAnsi="Palatino Linotype" w:cs="Calibri Light"/>
          <w:color w:val="000000"/>
          <w:sz w:val="24"/>
          <w:szCs w:val="24"/>
          <w:lang w:val="en-ID"/>
        </w:rPr>
        <w:lastRenderedPageBreak/>
        <w:t xml:space="preserve">harmonization as the principal framework for integrating Islamic economic law and Indonesian positive law in governing zakat, </w:t>
      </w:r>
      <w:proofErr w:type="spellStart"/>
      <w:r w:rsidRPr="00431D89">
        <w:rPr>
          <w:rFonts w:ascii="Palatino Linotype" w:eastAsia="Palatino Linotype" w:hAnsi="Palatino Linotype" w:cs="Calibri Light"/>
          <w:color w:val="000000"/>
          <w:sz w:val="24"/>
          <w:szCs w:val="24"/>
          <w:lang w:val="en-ID"/>
        </w:rPr>
        <w:t>infaq</w:t>
      </w:r>
      <w:proofErr w:type="spellEnd"/>
      <w:r w:rsidRPr="00431D89">
        <w:rPr>
          <w:rFonts w:ascii="Palatino Linotype" w:eastAsia="Palatino Linotype" w:hAnsi="Palatino Linotype" w:cs="Calibri Light"/>
          <w:color w:val="000000"/>
          <w:sz w:val="24"/>
          <w:szCs w:val="24"/>
          <w:lang w:val="en-ID"/>
        </w:rPr>
        <w:t xml:space="preserve">, and productive waqf. Unlike previous studies that examined legal compliance, institutional governance, or socioeconomic impacts separately, this research develops a comprehensive legal perspective that connects regulatory substance, institutional coordination, accountability, and sustainable development objectives within a unified governance model. The novelty of this study lies in positioning legal harmonization not merely as normative consistency between Islamic principles and statutory regulations but also as an operational mechanism capable of strengthening collaboration among Islamic social finance institutions. By integrating the objectives of </w:t>
      </w:r>
      <w:proofErr w:type="spellStart"/>
      <w:r w:rsidRPr="00431D89">
        <w:rPr>
          <w:rFonts w:ascii="Palatino Linotype" w:eastAsia="Palatino Linotype" w:hAnsi="Palatino Linotype" w:cs="Calibri Light"/>
          <w:i/>
          <w:iCs/>
          <w:color w:val="000000"/>
          <w:sz w:val="24"/>
          <w:szCs w:val="24"/>
          <w:lang w:val="en-ID"/>
        </w:rPr>
        <w:t>maqā</w:t>
      </w:r>
      <w:r w:rsidRPr="00431D89">
        <w:rPr>
          <w:rFonts w:ascii="Cambria" w:eastAsia="Palatino Linotype" w:hAnsi="Cambria" w:cs="Cambria"/>
          <w:i/>
          <w:iCs/>
          <w:color w:val="000000"/>
          <w:sz w:val="24"/>
          <w:szCs w:val="24"/>
          <w:lang w:val="en-ID"/>
        </w:rPr>
        <w:t>ṣ</w:t>
      </w:r>
      <w:r w:rsidRPr="00431D89">
        <w:rPr>
          <w:rFonts w:ascii="Palatino Linotype" w:eastAsia="Palatino Linotype" w:hAnsi="Palatino Linotype" w:cs="Calibri Light"/>
          <w:i/>
          <w:iCs/>
          <w:color w:val="000000"/>
          <w:sz w:val="24"/>
          <w:szCs w:val="24"/>
          <w:lang w:val="en-ID"/>
        </w:rPr>
        <w:t>id</w:t>
      </w:r>
      <w:proofErr w:type="spellEnd"/>
      <w:r w:rsidRPr="00431D89">
        <w:rPr>
          <w:rFonts w:ascii="Palatino Linotype" w:eastAsia="Palatino Linotype" w:hAnsi="Palatino Linotype" w:cs="Calibri Light"/>
          <w:i/>
          <w:iCs/>
          <w:color w:val="000000"/>
          <w:sz w:val="24"/>
          <w:szCs w:val="24"/>
          <w:lang w:val="en-ID"/>
        </w:rPr>
        <w:t xml:space="preserve"> al-</w:t>
      </w:r>
      <w:proofErr w:type="spellStart"/>
      <w:r w:rsidRPr="00431D89">
        <w:rPr>
          <w:rFonts w:ascii="Palatino Linotype" w:eastAsia="Palatino Linotype" w:hAnsi="Palatino Linotype" w:cs="Calibri Light"/>
          <w:i/>
          <w:iCs/>
          <w:color w:val="000000"/>
          <w:sz w:val="24"/>
          <w:szCs w:val="24"/>
          <w:lang w:val="en-ID"/>
        </w:rPr>
        <w:t>syarī'ah</w:t>
      </w:r>
      <w:proofErr w:type="spellEnd"/>
      <w:r w:rsidRPr="00431D89">
        <w:rPr>
          <w:rFonts w:ascii="Palatino Linotype" w:eastAsia="Palatino Linotype" w:hAnsi="Palatino Linotype" w:cs="Calibri Light"/>
          <w:color w:val="000000"/>
          <w:sz w:val="24"/>
          <w:szCs w:val="24"/>
          <w:lang w:val="en-ID"/>
        </w:rPr>
        <w:t xml:space="preserve"> with contemporary principles of good governance, transparency, and legal certainty, this study broadens the theoretical discourse on Islamic social finance while offering a more holistic legal framework for optimizing productive Islamic philanthropic assets. Accordingly, this research advances both Islamic economic law and public policy by demonstrating that sustainable community economic transformation requires coherent legal governance rather than fragmented institutional regulation.</w:t>
      </w:r>
    </w:p>
    <w:p w14:paraId="2DFE22AF" w14:textId="77777777" w:rsidR="00431D89" w:rsidRPr="00431D89" w:rsidRDefault="00431D89" w:rsidP="00431D89">
      <w:pPr>
        <w:spacing w:line="216" w:lineRule="auto"/>
        <w:ind w:firstLine="720"/>
        <w:jc w:val="both"/>
        <w:rPr>
          <w:rFonts w:ascii="Palatino Linotype" w:eastAsia="Palatino Linotype" w:hAnsi="Palatino Linotype" w:cs="Calibri Light"/>
          <w:color w:val="000000"/>
          <w:sz w:val="24"/>
          <w:szCs w:val="24"/>
          <w:lang w:val="en-ID"/>
        </w:rPr>
      </w:pPr>
      <w:r w:rsidRPr="00431D89">
        <w:rPr>
          <w:rFonts w:ascii="Palatino Linotype" w:eastAsia="Palatino Linotype" w:hAnsi="Palatino Linotype" w:cs="Calibri Light"/>
          <w:color w:val="000000"/>
          <w:sz w:val="24"/>
          <w:szCs w:val="24"/>
          <w:lang w:val="en-ID"/>
        </w:rPr>
        <w:t xml:space="preserve">Based on these considerations, this study addresses the following research question: How can the harmonization of Islamic economic law and Indonesian positive law strengthen the governance of zakat, </w:t>
      </w:r>
      <w:proofErr w:type="spellStart"/>
      <w:r w:rsidRPr="00431D89">
        <w:rPr>
          <w:rFonts w:ascii="Palatino Linotype" w:eastAsia="Palatino Linotype" w:hAnsi="Palatino Linotype" w:cs="Calibri Light"/>
          <w:color w:val="000000"/>
          <w:sz w:val="24"/>
          <w:szCs w:val="24"/>
          <w:lang w:val="en-ID"/>
        </w:rPr>
        <w:t>infaq</w:t>
      </w:r>
      <w:proofErr w:type="spellEnd"/>
      <w:r w:rsidRPr="00431D89">
        <w:rPr>
          <w:rFonts w:ascii="Palatino Linotype" w:eastAsia="Palatino Linotype" w:hAnsi="Palatino Linotype" w:cs="Calibri Light"/>
          <w:color w:val="000000"/>
          <w:sz w:val="24"/>
          <w:szCs w:val="24"/>
          <w:lang w:val="en-ID"/>
        </w:rPr>
        <w:t xml:space="preserve">, and productive waqf to achieve sustainable community economic transformation? This question emerges from the observation that comprehensive legal regulations already exist, yet institutional fragmentation, overlapping authority, and inconsistent governance continue to limit the effectiveness of Islamic social finance. The study argues that sustainable prosperity cannot be achieved solely through expanding charitable fund collection or introducing additional legal provisions. Instead, effective transformation requires an integrated legal governance framework that synchronizes statutory regulations, Islamic legal principles, institutional accountability, coordinated supervision, and productive asset management. It is therefore hypothesized that stronger legal harmonization will enhance governance quality, improve public trust, reinforce institutional collaboration, and maximize the productive utilization of zakat, </w:t>
      </w:r>
      <w:proofErr w:type="spellStart"/>
      <w:r w:rsidRPr="00431D89">
        <w:rPr>
          <w:rFonts w:ascii="Palatino Linotype" w:eastAsia="Palatino Linotype" w:hAnsi="Palatino Linotype" w:cs="Calibri Light"/>
          <w:color w:val="000000"/>
          <w:sz w:val="24"/>
          <w:szCs w:val="24"/>
          <w:lang w:val="en-ID"/>
        </w:rPr>
        <w:t>infaq</w:t>
      </w:r>
      <w:proofErr w:type="spellEnd"/>
      <w:r w:rsidRPr="00431D89">
        <w:rPr>
          <w:rFonts w:ascii="Palatino Linotype" w:eastAsia="Palatino Linotype" w:hAnsi="Palatino Linotype" w:cs="Calibri Light"/>
          <w:color w:val="000000"/>
          <w:sz w:val="24"/>
          <w:szCs w:val="24"/>
          <w:lang w:val="en-ID"/>
        </w:rPr>
        <w:t>, and waqf. Ultimately, such integration is expected to establish a sustainable legal ecosystem capable of promoting inclusive economic development, social justice, and long-term community welfare in accordance with both Islamic normative values and national development objectives.</w:t>
      </w:r>
    </w:p>
    <w:p w14:paraId="07D07608" w14:textId="77777777" w:rsidR="001E05C6" w:rsidRPr="00A55CEB" w:rsidRDefault="001E05C6" w:rsidP="00431D89">
      <w:pPr>
        <w:spacing w:line="216" w:lineRule="auto"/>
        <w:jc w:val="both"/>
        <w:rPr>
          <w:rFonts w:ascii="Palatino Linotype" w:eastAsia="Palatino Linotype" w:hAnsi="Palatino Linotype" w:cs="Calibri Light"/>
          <w:color w:val="000000"/>
          <w:sz w:val="24"/>
          <w:szCs w:val="24"/>
          <w:lang w:val="en-US"/>
        </w:rPr>
      </w:pPr>
    </w:p>
    <w:p w14:paraId="634CB4B8" w14:textId="0508E97E" w:rsidR="001E05C6" w:rsidRPr="00D310BC" w:rsidRDefault="001E05C6" w:rsidP="0074288E">
      <w:pPr>
        <w:widowControl/>
        <w:spacing w:line="216" w:lineRule="auto"/>
        <w:rPr>
          <w:rFonts w:ascii="Palatino Linotype" w:hAnsi="Palatino Linotype" w:cs="Calibri Light"/>
          <w:b/>
          <w:bCs/>
          <w:color w:val="BF4E14" w:themeColor="accent2" w:themeShade="BF"/>
          <w:sz w:val="24"/>
          <w:szCs w:val="24"/>
          <w:lang w:val="en-US" w:eastAsia="en-ID"/>
        </w:rPr>
      </w:pPr>
      <w:r w:rsidRPr="00D310BC">
        <w:rPr>
          <w:rFonts w:ascii="Palatino Linotype" w:hAnsi="Palatino Linotype" w:cs="Calibri Light"/>
          <w:b/>
          <w:bCs/>
          <w:color w:val="BF4E14" w:themeColor="accent2" w:themeShade="BF"/>
          <w:sz w:val="24"/>
          <w:szCs w:val="24"/>
          <w:lang w:val="en-US" w:eastAsia="en-ID"/>
        </w:rPr>
        <w:t>RESEARCH METHOD</w:t>
      </w:r>
      <w:r w:rsidR="00431D89">
        <w:rPr>
          <w:rFonts w:ascii="Palatino Linotype" w:hAnsi="Palatino Linotype" w:cs="Calibri Light"/>
          <w:b/>
          <w:bCs/>
          <w:color w:val="BF4E14" w:themeColor="accent2" w:themeShade="BF"/>
          <w:sz w:val="24"/>
          <w:szCs w:val="24"/>
          <w:lang w:val="en-US" w:eastAsia="en-ID"/>
        </w:rPr>
        <w:t>S</w:t>
      </w:r>
    </w:p>
    <w:p w14:paraId="6EEB2214" w14:textId="77777777" w:rsidR="00431D89" w:rsidRPr="00431D89" w:rsidRDefault="00431D89" w:rsidP="00431D89">
      <w:pPr>
        <w:spacing w:line="216" w:lineRule="auto"/>
        <w:ind w:firstLine="720"/>
        <w:jc w:val="both"/>
        <w:rPr>
          <w:rFonts w:ascii="Palatino Linotype" w:hAnsi="Palatino Linotype" w:cs="Calibri Light"/>
          <w:sz w:val="24"/>
          <w:szCs w:val="24"/>
          <w:lang w:val="en-ID" w:eastAsia="en-ID"/>
        </w:rPr>
      </w:pPr>
      <w:r w:rsidRPr="00431D89">
        <w:rPr>
          <w:rFonts w:ascii="Palatino Linotype" w:hAnsi="Palatino Linotype" w:cs="Calibri Light"/>
          <w:sz w:val="24"/>
          <w:szCs w:val="24"/>
          <w:lang w:val="en-ID" w:eastAsia="en-ID"/>
        </w:rPr>
        <w:t xml:space="preserve">This study employed a normative juridical research design to examine the harmonization of Islamic economic law and Indonesian positive law in governing zakat, </w:t>
      </w:r>
      <w:proofErr w:type="spellStart"/>
      <w:r w:rsidRPr="00431D89">
        <w:rPr>
          <w:rFonts w:ascii="Palatino Linotype" w:hAnsi="Palatino Linotype" w:cs="Calibri Light"/>
          <w:sz w:val="24"/>
          <w:szCs w:val="24"/>
          <w:lang w:val="en-ID" w:eastAsia="en-ID"/>
        </w:rPr>
        <w:t>infaq</w:t>
      </w:r>
      <w:proofErr w:type="spellEnd"/>
      <w:r w:rsidRPr="00431D89">
        <w:rPr>
          <w:rFonts w:ascii="Palatino Linotype" w:hAnsi="Palatino Linotype" w:cs="Calibri Light"/>
          <w:sz w:val="24"/>
          <w:szCs w:val="24"/>
          <w:lang w:val="en-ID" w:eastAsia="en-ID"/>
        </w:rPr>
        <w:t xml:space="preserve">, and productive waqf for sustainable community economic transformation. A normative juridical approach was selected because the research focuses on legal norms, statutory regulations, legal doctrines, and Islamic legal principles rather than empirical </w:t>
      </w:r>
      <w:proofErr w:type="spellStart"/>
      <w:r w:rsidRPr="00431D89">
        <w:rPr>
          <w:rFonts w:ascii="Palatino Linotype" w:hAnsi="Palatino Linotype" w:cs="Calibri Light"/>
          <w:sz w:val="24"/>
          <w:szCs w:val="24"/>
          <w:lang w:val="en-ID" w:eastAsia="en-ID"/>
        </w:rPr>
        <w:t>behavior</w:t>
      </w:r>
      <w:proofErr w:type="spellEnd"/>
      <w:r w:rsidRPr="00431D89">
        <w:rPr>
          <w:rFonts w:ascii="Palatino Linotype" w:hAnsi="Palatino Linotype" w:cs="Calibri Light"/>
          <w:sz w:val="24"/>
          <w:szCs w:val="24"/>
          <w:lang w:val="en-ID" w:eastAsia="en-ID"/>
        </w:rPr>
        <w:t xml:space="preserve"> or social phenomena. The study aims to evaluate the coherence, consistency, and effectiveness of the existing legal framework regulating Islamic social finance by </w:t>
      </w:r>
      <w:proofErr w:type="spellStart"/>
      <w:r w:rsidRPr="00431D89">
        <w:rPr>
          <w:rFonts w:ascii="Palatino Linotype" w:hAnsi="Palatino Linotype" w:cs="Calibri Light"/>
          <w:sz w:val="24"/>
          <w:szCs w:val="24"/>
          <w:lang w:val="en-ID" w:eastAsia="en-ID"/>
        </w:rPr>
        <w:t>analyzing</w:t>
      </w:r>
      <w:proofErr w:type="spellEnd"/>
      <w:r w:rsidRPr="00431D89">
        <w:rPr>
          <w:rFonts w:ascii="Palatino Linotype" w:hAnsi="Palatino Linotype" w:cs="Calibri Light"/>
          <w:sz w:val="24"/>
          <w:szCs w:val="24"/>
          <w:lang w:val="en-ID" w:eastAsia="en-ID"/>
        </w:rPr>
        <w:t xml:space="preserve"> legislation, legal doctrines, and policy instruments. This approach is appropriate because it facilitates comprehensive legal interpretation and comparative </w:t>
      </w:r>
      <w:r w:rsidRPr="00431D89">
        <w:rPr>
          <w:rFonts w:ascii="Palatino Linotype" w:hAnsi="Palatino Linotype" w:cs="Calibri Light"/>
          <w:sz w:val="24"/>
          <w:szCs w:val="24"/>
          <w:lang w:val="en-ID" w:eastAsia="en-ID"/>
        </w:rPr>
        <w:lastRenderedPageBreak/>
        <w:t>analysis of Islamic economic law and Indonesian positive law to identify regulatory strengths, legal gaps, and opportunities for harmonization. The research adopted four complementary approaches</w:t>
      </w:r>
      <w:r w:rsidRPr="00431D89">
        <w:rPr>
          <w:rFonts w:ascii="Palatino Linotype" w:hAnsi="Palatino Linotype" w:cs="Calibri Light"/>
          <w:b/>
          <w:bCs/>
          <w:sz w:val="24"/>
          <w:szCs w:val="24"/>
          <w:lang w:val="en-ID" w:eastAsia="en-ID"/>
        </w:rPr>
        <w:t xml:space="preserve">, </w:t>
      </w:r>
      <w:r w:rsidRPr="00431D89">
        <w:rPr>
          <w:rFonts w:ascii="Palatino Linotype" w:hAnsi="Palatino Linotype" w:cs="Calibri Light"/>
          <w:sz w:val="24"/>
          <w:szCs w:val="24"/>
          <w:lang w:val="en-ID" w:eastAsia="en-ID"/>
        </w:rPr>
        <w:t xml:space="preserve">namely the statutory approach, conceptual approach, comparative approach, and analytical approach, enabling systematic examination of legal provisions and formulation of recommendations for strengthening governance and sustainable management of zakat, </w:t>
      </w:r>
      <w:proofErr w:type="spellStart"/>
      <w:r w:rsidRPr="00431D89">
        <w:rPr>
          <w:rFonts w:ascii="Palatino Linotype" w:hAnsi="Palatino Linotype" w:cs="Calibri Light"/>
          <w:sz w:val="24"/>
          <w:szCs w:val="24"/>
          <w:lang w:val="en-ID" w:eastAsia="en-ID"/>
        </w:rPr>
        <w:t>infaq</w:t>
      </w:r>
      <w:proofErr w:type="spellEnd"/>
      <w:r w:rsidRPr="00431D89">
        <w:rPr>
          <w:rFonts w:ascii="Palatino Linotype" w:hAnsi="Palatino Linotype" w:cs="Calibri Light"/>
          <w:sz w:val="24"/>
          <w:szCs w:val="24"/>
          <w:lang w:val="en-ID" w:eastAsia="en-ID"/>
        </w:rPr>
        <w:t>, and productive waqf.</w:t>
      </w:r>
    </w:p>
    <w:p w14:paraId="5A1EBDC2" w14:textId="77777777" w:rsidR="00431D89" w:rsidRPr="00431D89" w:rsidRDefault="00431D89" w:rsidP="00431D89">
      <w:pPr>
        <w:spacing w:line="216" w:lineRule="auto"/>
        <w:ind w:firstLine="720"/>
        <w:jc w:val="both"/>
        <w:rPr>
          <w:rFonts w:ascii="Palatino Linotype" w:hAnsi="Palatino Linotype" w:cs="Calibri Light"/>
          <w:sz w:val="24"/>
          <w:szCs w:val="24"/>
          <w:lang w:val="en-ID" w:eastAsia="en-ID"/>
        </w:rPr>
      </w:pPr>
      <w:r w:rsidRPr="00431D89">
        <w:rPr>
          <w:rFonts w:ascii="Palatino Linotype" w:hAnsi="Palatino Linotype" w:cs="Calibri Light"/>
          <w:sz w:val="24"/>
          <w:szCs w:val="24"/>
          <w:lang w:val="en-ID" w:eastAsia="en-ID"/>
        </w:rPr>
        <w:t xml:space="preserve">As a normative juridical study, this research did not involve a specific field location but was situated within the legal jurisdiction of Indonesia, where Islamic social finance is regulated through a comprehensive legal framework. Indonesia was selected because it has the largest Muslim population in the world and possesses significant potential for developing zakat, </w:t>
      </w:r>
      <w:proofErr w:type="spellStart"/>
      <w:r w:rsidRPr="00431D89">
        <w:rPr>
          <w:rFonts w:ascii="Palatino Linotype" w:hAnsi="Palatino Linotype" w:cs="Calibri Light"/>
          <w:sz w:val="24"/>
          <w:szCs w:val="24"/>
          <w:lang w:val="en-ID" w:eastAsia="en-ID"/>
        </w:rPr>
        <w:t>infaq</w:t>
      </w:r>
      <w:proofErr w:type="spellEnd"/>
      <w:r w:rsidRPr="00431D89">
        <w:rPr>
          <w:rFonts w:ascii="Palatino Linotype" w:hAnsi="Palatino Linotype" w:cs="Calibri Light"/>
          <w:sz w:val="24"/>
          <w:szCs w:val="24"/>
          <w:lang w:val="en-ID" w:eastAsia="en-ID"/>
        </w:rPr>
        <w:t xml:space="preserve">, and productive waqf as instruments of sustainable economic development. Moreover, Indonesia has enacted important legal instruments governing Islamic social finance, including Law Number 23 of 2011 concerning Zakat Management, Law Number 41 of 2004 concerning Waqf, Government Regulation Number 42 of 2006, and implementing regulations issued by the National Zakat Agency (BAZNAS), the Indonesian Waqf Board (BWI), and related institutions. These legal instruments provide a rich normative context for examining the harmonization of Islamic economic law and positive law while identifying institutional and regulatory challenges affecting governance effectiveness. Therefore, Indonesia offers an appropriate legal setting for </w:t>
      </w:r>
      <w:proofErr w:type="spellStart"/>
      <w:r w:rsidRPr="00431D89">
        <w:rPr>
          <w:rFonts w:ascii="Palatino Linotype" w:hAnsi="Palatino Linotype" w:cs="Calibri Light"/>
          <w:sz w:val="24"/>
          <w:szCs w:val="24"/>
          <w:lang w:val="en-ID" w:eastAsia="en-ID"/>
        </w:rPr>
        <w:t>analyzing</w:t>
      </w:r>
      <w:proofErr w:type="spellEnd"/>
      <w:r w:rsidRPr="00431D89">
        <w:rPr>
          <w:rFonts w:ascii="Palatino Linotype" w:hAnsi="Palatino Linotype" w:cs="Calibri Light"/>
          <w:sz w:val="24"/>
          <w:szCs w:val="24"/>
          <w:lang w:val="en-ID" w:eastAsia="en-ID"/>
        </w:rPr>
        <w:t xml:space="preserve"> how legal harmonization can strengthen Islamic social finance governance to support sustainable community economic transformation.</w:t>
      </w:r>
    </w:p>
    <w:p w14:paraId="28B3B9DA" w14:textId="77777777" w:rsidR="00431D89" w:rsidRPr="00431D89" w:rsidRDefault="00431D89" w:rsidP="00431D89">
      <w:pPr>
        <w:spacing w:line="216" w:lineRule="auto"/>
        <w:ind w:firstLine="720"/>
        <w:jc w:val="both"/>
        <w:rPr>
          <w:rFonts w:ascii="Palatino Linotype" w:hAnsi="Palatino Linotype" w:cs="Calibri Light"/>
          <w:sz w:val="24"/>
          <w:szCs w:val="24"/>
          <w:lang w:val="en-ID" w:eastAsia="en-ID"/>
        </w:rPr>
      </w:pPr>
      <w:r w:rsidRPr="00431D89">
        <w:rPr>
          <w:rFonts w:ascii="Palatino Linotype" w:hAnsi="Palatino Linotype" w:cs="Calibri Light"/>
          <w:sz w:val="24"/>
          <w:szCs w:val="24"/>
          <w:lang w:val="en-ID" w:eastAsia="en-ID"/>
        </w:rPr>
        <w:t xml:space="preserve">The research relied exclusively on secondary legal materials collected through systematic library research and document analysis. Primary legal materials consisted of the Constitution of the Republic of Indonesia, Law Number 23 of 2011 concerning Zakat Management, Law Number 41 of 2004 concerning Waqf, Government Regulation Number 42 of 2006, relevant implementing regulations, and fatwas issued by the National Sharia Council of the Indonesian Council of Ulama (DSN-MUI). Secondary legal materials included books, peer-reviewed journal articles, legal commentaries, conference proceedings, institutional reports, and scholarly publications discussing Islamic economic law, legal harmonization, governance, and Islamic social finance. Tertiary legal materials, including legal dictionaries, </w:t>
      </w:r>
      <w:proofErr w:type="spellStart"/>
      <w:r w:rsidRPr="00431D89">
        <w:rPr>
          <w:rFonts w:ascii="Palatino Linotype" w:hAnsi="Palatino Linotype" w:cs="Calibri Light"/>
          <w:sz w:val="24"/>
          <w:szCs w:val="24"/>
          <w:lang w:val="en-ID" w:eastAsia="en-ID"/>
        </w:rPr>
        <w:t>encyclopedias</w:t>
      </w:r>
      <w:proofErr w:type="spellEnd"/>
      <w:r w:rsidRPr="00431D89">
        <w:rPr>
          <w:rFonts w:ascii="Palatino Linotype" w:hAnsi="Palatino Linotype" w:cs="Calibri Light"/>
          <w:sz w:val="24"/>
          <w:szCs w:val="24"/>
          <w:lang w:val="en-ID" w:eastAsia="en-ID"/>
        </w:rPr>
        <w:t>, and official legal databases, were also utilized to support conceptual clarification. All legal materials were identified, classified, critically reviewed, and documented according to their relevance to the research objectives and legal issues under investigation.</w:t>
      </w:r>
    </w:p>
    <w:p w14:paraId="18F43C97" w14:textId="7AC2541A" w:rsidR="001E05C6" w:rsidRDefault="00431D89" w:rsidP="00431D89">
      <w:pPr>
        <w:spacing w:line="216" w:lineRule="auto"/>
        <w:ind w:firstLine="720"/>
        <w:jc w:val="both"/>
        <w:rPr>
          <w:rFonts w:ascii="Palatino Linotype" w:hAnsi="Palatino Linotype" w:cs="Calibri Light"/>
          <w:sz w:val="24"/>
          <w:szCs w:val="24"/>
          <w:lang w:val="en-ID" w:eastAsia="en-ID"/>
        </w:rPr>
      </w:pPr>
      <w:r w:rsidRPr="00431D89">
        <w:rPr>
          <w:rFonts w:ascii="Palatino Linotype" w:hAnsi="Palatino Linotype" w:cs="Calibri Light"/>
          <w:sz w:val="24"/>
          <w:szCs w:val="24"/>
          <w:lang w:val="en-ID" w:eastAsia="en-ID"/>
        </w:rPr>
        <w:t xml:space="preserve">The collected legal materials were </w:t>
      </w:r>
      <w:proofErr w:type="spellStart"/>
      <w:r w:rsidRPr="00431D89">
        <w:rPr>
          <w:rFonts w:ascii="Palatino Linotype" w:hAnsi="Palatino Linotype" w:cs="Calibri Light"/>
          <w:sz w:val="24"/>
          <w:szCs w:val="24"/>
          <w:lang w:val="en-ID" w:eastAsia="en-ID"/>
        </w:rPr>
        <w:t>analyzed</w:t>
      </w:r>
      <w:proofErr w:type="spellEnd"/>
      <w:r w:rsidRPr="00431D89">
        <w:rPr>
          <w:rFonts w:ascii="Palatino Linotype" w:hAnsi="Palatino Linotype" w:cs="Calibri Light"/>
          <w:sz w:val="24"/>
          <w:szCs w:val="24"/>
          <w:lang w:val="en-ID" w:eastAsia="en-ID"/>
        </w:rPr>
        <w:t xml:space="preserve"> using the interactive qualitative analysis model consisting of data condensation, data display, and conclusion drawing/verification. During the data condensation stage, legal materials were selected, classified, simplified, and organized according to the research questions, while irrelevant information was excluded. The data display stage involved arranging legal provisions, Islamic legal principles, doctrinal opinions, and scholarly arguments into thematic matrices and comparative tables to facilitate systematic interpretation and identify patterns of legal harmonization. Finally, conclusion drawing and verification were conducted </w:t>
      </w:r>
      <w:r w:rsidRPr="00431D89">
        <w:rPr>
          <w:rFonts w:ascii="Palatino Linotype" w:hAnsi="Palatino Linotype" w:cs="Calibri Light"/>
          <w:sz w:val="24"/>
          <w:szCs w:val="24"/>
          <w:lang w:val="en-ID" w:eastAsia="en-ID"/>
        </w:rPr>
        <w:lastRenderedPageBreak/>
        <w:t xml:space="preserve">through continuous examination of the consistency among statutory regulations, Islamic legal doctrines, policy instruments, and academic literature. This iterative analytical process enabled the identification of legal strengths, regulatory inconsistencies, institutional challenges, and opportunities for strengthening the governance of zakat, </w:t>
      </w:r>
      <w:proofErr w:type="spellStart"/>
      <w:r w:rsidRPr="00431D89">
        <w:rPr>
          <w:rFonts w:ascii="Palatino Linotype" w:hAnsi="Palatino Linotype" w:cs="Calibri Light"/>
          <w:sz w:val="24"/>
          <w:szCs w:val="24"/>
          <w:lang w:val="en-ID" w:eastAsia="en-ID"/>
        </w:rPr>
        <w:t>infaq</w:t>
      </w:r>
      <w:proofErr w:type="spellEnd"/>
      <w:r w:rsidRPr="00431D89">
        <w:rPr>
          <w:rFonts w:ascii="Palatino Linotype" w:hAnsi="Palatino Linotype" w:cs="Calibri Light"/>
          <w:sz w:val="24"/>
          <w:szCs w:val="24"/>
          <w:lang w:val="en-ID" w:eastAsia="en-ID"/>
        </w:rPr>
        <w:t>, and productive waqf through an integrated legal framework grounded in both Islamic economic law and Indonesian positive law.</w:t>
      </w:r>
    </w:p>
    <w:p w14:paraId="75FEF828" w14:textId="77777777" w:rsidR="00431D89" w:rsidRPr="00431D89" w:rsidRDefault="00431D89" w:rsidP="00431D89">
      <w:pPr>
        <w:spacing w:line="216" w:lineRule="auto"/>
        <w:ind w:firstLine="720"/>
        <w:jc w:val="both"/>
        <w:rPr>
          <w:rFonts w:ascii="Palatino Linotype" w:hAnsi="Palatino Linotype" w:cs="Calibri Light"/>
          <w:sz w:val="24"/>
          <w:szCs w:val="24"/>
          <w:lang w:val="en-ID" w:eastAsia="en-ID"/>
        </w:rPr>
      </w:pPr>
    </w:p>
    <w:p w14:paraId="26A66093" w14:textId="77777777" w:rsidR="00087A0E" w:rsidRPr="00A55CEB" w:rsidRDefault="00087A0E" w:rsidP="0074288E">
      <w:pPr>
        <w:widowControl/>
        <w:spacing w:line="216" w:lineRule="auto"/>
        <w:rPr>
          <w:rFonts w:ascii="Palatino Linotype" w:hAnsi="Palatino Linotype" w:cs="Calibri Light"/>
          <w:b/>
          <w:bCs/>
          <w:color w:val="2F5496"/>
          <w:sz w:val="24"/>
          <w:szCs w:val="24"/>
          <w:lang w:val="en-US" w:eastAsia="id-ID"/>
        </w:rPr>
      </w:pPr>
    </w:p>
    <w:p w14:paraId="6CC51C48" w14:textId="75434F3F" w:rsidR="001E05C6" w:rsidRPr="00D310BC" w:rsidRDefault="001E05C6" w:rsidP="0074288E">
      <w:pPr>
        <w:widowControl/>
        <w:spacing w:line="216" w:lineRule="auto"/>
        <w:rPr>
          <w:rFonts w:ascii="Palatino Linotype" w:hAnsi="Palatino Linotype" w:cs="Calibri Light"/>
          <w:b/>
          <w:bCs/>
          <w:color w:val="BF4E14" w:themeColor="accent2" w:themeShade="BF"/>
          <w:sz w:val="24"/>
          <w:szCs w:val="24"/>
          <w:lang w:val="en-US" w:eastAsia="id-ID"/>
        </w:rPr>
      </w:pPr>
      <w:r w:rsidRPr="00D310BC">
        <w:rPr>
          <w:rFonts w:ascii="Palatino Linotype" w:hAnsi="Palatino Linotype" w:cs="Calibri Light"/>
          <w:b/>
          <w:bCs/>
          <w:color w:val="BF4E14" w:themeColor="accent2" w:themeShade="BF"/>
          <w:sz w:val="24"/>
          <w:szCs w:val="24"/>
          <w:lang w:val="en-US" w:eastAsia="id-ID"/>
        </w:rPr>
        <w:t>RESULT AND DISCUSSION</w:t>
      </w:r>
    </w:p>
    <w:p w14:paraId="60DAF588" w14:textId="77777777" w:rsidR="001E05C6" w:rsidRPr="00D310BC" w:rsidRDefault="001E05C6" w:rsidP="0074288E">
      <w:pPr>
        <w:spacing w:line="216" w:lineRule="auto"/>
        <w:jc w:val="both"/>
        <w:rPr>
          <w:rFonts w:ascii="Palatino Linotype" w:hAnsi="Palatino Linotype" w:cs="Calibri Light"/>
          <w:b/>
          <w:bCs/>
          <w:color w:val="BF4E14" w:themeColor="accent2" w:themeShade="BF"/>
          <w:sz w:val="24"/>
          <w:szCs w:val="24"/>
          <w:lang w:val="en-US" w:eastAsia="en-ID"/>
        </w:rPr>
      </w:pPr>
      <w:r w:rsidRPr="00D310BC">
        <w:rPr>
          <w:rFonts w:ascii="Palatino Linotype" w:hAnsi="Palatino Linotype" w:cs="Calibri Light"/>
          <w:b/>
          <w:bCs/>
          <w:color w:val="BF4E14" w:themeColor="accent2" w:themeShade="BF"/>
          <w:sz w:val="24"/>
          <w:szCs w:val="24"/>
          <w:lang w:val="en-US" w:eastAsia="en-ID"/>
        </w:rPr>
        <w:t>Result</w:t>
      </w:r>
    </w:p>
    <w:p w14:paraId="673F5A4F" w14:textId="74E11786" w:rsidR="001E05C6" w:rsidRPr="00A55CEB" w:rsidRDefault="00B66C79" w:rsidP="0074288E">
      <w:pPr>
        <w:spacing w:line="216" w:lineRule="auto"/>
        <w:jc w:val="both"/>
        <w:rPr>
          <w:rFonts w:ascii="Palatino Linotype" w:hAnsi="Palatino Linotype" w:cs="Calibri Light"/>
          <w:b/>
          <w:bCs/>
          <w:color w:val="000000"/>
          <w:sz w:val="24"/>
          <w:szCs w:val="24"/>
          <w:lang w:eastAsia="en-ID"/>
        </w:rPr>
      </w:pPr>
      <w:r w:rsidRPr="00B66C79">
        <w:rPr>
          <w:rFonts w:ascii="Palatino Linotype" w:hAnsi="Palatino Linotype" w:cs="Calibri Light"/>
          <w:b/>
          <w:bCs/>
          <w:color w:val="000000"/>
          <w:sz w:val="24"/>
          <w:szCs w:val="24"/>
          <w:lang w:eastAsia="en-ID"/>
        </w:rPr>
        <w:t>Legal Principles Underpinning the Governance of Islamic Social Finance</w:t>
      </w:r>
    </w:p>
    <w:p w14:paraId="26902A58" w14:textId="77777777" w:rsidR="00B66C79" w:rsidRPr="00B66C79" w:rsidRDefault="00B66C79" w:rsidP="00B66C79">
      <w:pPr>
        <w:spacing w:line="216" w:lineRule="auto"/>
        <w:ind w:firstLine="720"/>
        <w:jc w:val="both"/>
        <w:rPr>
          <w:rFonts w:ascii="Palatino Linotype" w:hAnsi="Palatino Linotype" w:cs="Calibri Light"/>
          <w:sz w:val="24"/>
          <w:szCs w:val="24"/>
          <w:lang w:val="en-ID" w:eastAsia="en-ID"/>
        </w:rPr>
      </w:pPr>
      <w:r w:rsidRPr="00B66C79">
        <w:rPr>
          <w:rFonts w:ascii="Palatino Linotype" w:hAnsi="Palatino Linotype" w:cs="Calibri Light"/>
          <w:sz w:val="24"/>
          <w:szCs w:val="24"/>
          <w:lang w:val="en-ID" w:eastAsia="en-ID"/>
        </w:rPr>
        <w:t xml:space="preserve">The governance of Islamic social finance is fundamentally grounded in legal principles derived from both Islamic economic law and Indonesian positive law. In Islamic jurisprudence, the administration of zakat, </w:t>
      </w:r>
      <w:proofErr w:type="spellStart"/>
      <w:r w:rsidRPr="00B66C79">
        <w:rPr>
          <w:rFonts w:ascii="Palatino Linotype" w:hAnsi="Palatino Linotype" w:cs="Calibri Light"/>
          <w:sz w:val="24"/>
          <w:szCs w:val="24"/>
          <w:lang w:val="en-ID" w:eastAsia="en-ID"/>
        </w:rPr>
        <w:t>infaq</w:t>
      </w:r>
      <w:proofErr w:type="spellEnd"/>
      <w:r w:rsidRPr="00B66C79">
        <w:rPr>
          <w:rFonts w:ascii="Palatino Linotype" w:hAnsi="Palatino Linotype" w:cs="Calibri Light"/>
          <w:sz w:val="24"/>
          <w:szCs w:val="24"/>
          <w:lang w:val="en-ID" w:eastAsia="en-ID"/>
        </w:rPr>
        <w:t xml:space="preserve">, and productive waqf is guided by the objectives of </w:t>
      </w:r>
      <w:proofErr w:type="spellStart"/>
      <w:r w:rsidRPr="00B66C79">
        <w:rPr>
          <w:rFonts w:ascii="Palatino Linotype" w:hAnsi="Palatino Linotype" w:cs="Calibri Light"/>
          <w:i/>
          <w:iCs/>
          <w:sz w:val="24"/>
          <w:szCs w:val="24"/>
          <w:lang w:val="en-ID" w:eastAsia="en-ID"/>
        </w:rPr>
        <w:t>maqā</w:t>
      </w:r>
      <w:r w:rsidRPr="00B66C79">
        <w:rPr>
          <w:rFonts w:ascii="Cambria" w:hAnsi="Cambria" w:cs="Cambria"/>
          <w:i/>
          <w:iCs/>
          <w:sz w:val="24"/>
          <w:szCs w:val="24"/>
          <w:lang w:val="en-ID" w:eastAsia="en-ID"/>
        </w:rPr>
        <w:t>ṣ</w:t>
      </w:r>
      <w:r w:rsidRPr="00B66C79">
        <w:rPr>
          <w:rFonts w:ascii="Palatino Linotype" w:hAnsi="Palatino Linotype" w:cs="Calibri Light"/>
          <w:i/>
          <w:iCs/>
          <w:sz w:val="24"/>
          <w:szCs w:val="24"/>
          <w:lang w:val="en-ID" w:eastAsia="en-ID"/>
        </w:rPr>
        <w:t>id</w:t>
      </w:r>
      <w:proofErr w:type="spellEnd"/>
      <w:r w:rsidRPr="00B66C79">
        <w:rPr>
          <w:rFonts w:ascii="Palatino Linotype" w:hAnsi="Palatino Linotype" w:cs="Calibri Light"/>
          <w:i/>
          <w:iCs/>
          <w:sz w:val="24"/>
          <w:szCs w:val="24"/>
          <w:lang w:val="en-ID" w:eastAsia="en-ID"/>
        </w:rPr>
        <w:t xml:space="preserve"> al-</w:t>
      </w:r>
      <w:proofErr w:type="spellStart"/>
      <w:r w:rsidRPr="00B66C79">
        <w:rPr>
          <w:rFonts w:ascii="Palatino Linotype" w:hAnsi="Palatino Linotype" w:cs="Calibri Light"/>
          <w:i/>
          <w:iCs/>
          <w:sz w:val="24"/>
          <w:szCs w:val="24"/>
          <w:lang w:val="en-ID" w:eastAsia="en-ID"/>
        </w:rPr>
        <w:t>syarī'ah</w:t>
      </w:r>
      <w:proofErr w:type="spellEnd"/>
      <w:r w:rsidRPr="00B66C79">
        <w:rPr>
          <w:rFonts w:ascii="Palatino Linotype" w:hAnsi="Palatino Linotype" w:cs="Calibri Light"/>
          <w:sz w:val="24"/>
          <w:szCs w:val="24"/>
          <w:lang w:val="en-ID" w:eastAsia="en-ID"/>
        </w:rPr>
        <w:t>, which emphasize the realization of public welfare (</w:t>
      </w:r>
      <w:proofErr w:type="spellStart"/>
      <w:r w:rsidRPr="00B66C79">
        <w:rPr>
          <w:rFonts w:ascii="Palatino Linotype" w:hAnsi="Palatino Linotype" w:cs="Calibri Light"/>
          <w:i/>
          <w:iCs/>
          <w:sz w:val="24"/>
          <w:szCs w:val="24"/>
          <w:lang w:val="en-ID" w:eastAsia="en-ID"/>
        </w:rPr>
        <w:t>ma</w:t>
      </w:r>
      <w:r w:rsidRPr="00B66C79">
        <w:rPr>
          <w:rFonts w:ascii="Cambria" w:hAnsi="Cambria" w:cs="Cambria"/>
          <w:i/>
          <w:iCs/>
          <w:sz w:val="24"/>
          <w:szCs w:val="24"/>
          <w:lang w:val="en-ID" w:eastAsia="en-ID"/>
        </w:rPr>
        <w:t>ṣ</w:t>
      </w:r>
      <w:r w:rsidRPr="00B66C79">
        <w:rPr>
          <w:rFonts w:ascii="Palatino Linotype" w:hAnsi="Palatino Linotype" w:cs="Calibri Light"/>
          <w:i/>
          <w:iCs/>
          <w:sz w:val="24"/>
          <w:szCs w:val="24"/>
          <w:lang w:val="en-ID" w:eastAsia="en-ID"/>
        </w:rPr>
        <w:t>la</w:t>
      </w:r>
      <w:r w:rsidRPr="00B66C79">
        <w:rPr>
          <w:rFonts w:ascii="Cambria" w:hAnsi="Cambria" w:cs="Cambria"/>
          <w:i/>
          <w:iCs/>
          <w:sz w:val="24"/>
          <w:szCs w:val="24"/>
          <w:lang w:val="en-ID" w:eastAsia="en-ID"/>
        </w:rPr>
        <w:t>ḥ</w:t>
      </w:r>
      <w:r w:rsidRPr="00B66C79">
        <w:rPr>
          <w:rFonts w:ascii="Palatino Linotype" w:hAnsi="Palatino Linotype" w:cs="Calibri Light"/>
          <w:i/>
          <w:iCs/>
          <w:sz w:val="24"/>
          <w:szCs w:val="24"/>
          <w:lang w:val="en-ID" w:eastAsia="en-ID"/>
        </w:rPr>
        <w:t>ah</w:t>
      </w:r>
      <w:proofErr w:type="spellEnd"/>
      <w:r w:rsidRPr="00B66C79">
        <w:rPr>
          <w:rFonts w:ascii="Palatino Linotype" w:hAnsi="Palatino Linotype" w:cs="Calibri Light"/>
          <w:sz w:val="24"/>
          <w:szCs w:val="24"/>
          <w:lang w:val="en-ID" w:eastAsia="en-ID"/>
        </w:rPr>
        <w:t>), justice (</w:t>
      </w:r>
      <w:r w:rsidRPr="00B66C79">
        <w:rPr>
          <w:rFonts w:ascii="Palatino Linotype" w:hAnsi="Palatino Linotype" w:cs="Calibri Light"/>
          <w:i/>
          <w:iCs/>
          <w:sz w:val="24"/>
          <w:szCs w:val="24"/>
          <w:lang w:val="en-ID" w:eastAsia="en-ID"/>
        </w:rPr>
        <w:t>'</w:t>
      </w:r>
      <w:proofErr w:type="spellStart"/>
      <w:r w:rsidRPr="00B66C79">
        <w:rPr>
          <w:rFonts w:ascii="Palatino Linotype" w:hAnsi="Palatino Linotype" w:cs="Calibri Light"/>
          <w:i/>
          <w:iCs/>
          <w:sz w:val="24"/>
          <w:szCs w:val="24"/>
          <w:lang w:val="en-ID" w:eastAsia="en-ID"/>
        </w:rPr>
        <w:t>adl</w:t>
      </w:r>
      <w:proofErr w:type="spellEnd"/>
      <w:r w:rsidRPr="00B66C79">
        <w:rPr>
          <w:rFonts w:ascii="Palatino Linotype" w:hAnsi="Palatino Linotype" w:cs="Calibri Light"/>
          <w:sz w:val="24"/>
          <w:szCs w:val="24"/>
          <w:lang w:val="en-ID" w:eastAsia="en-ID"/>
        </w:rPr>
        <w:t>), legal certainty, accountability (</w:t>
      </w:r>
      <w:proofErr w:type="spellStart"/>
      <w:r w:rsidRPr="00B66C79">
        <w:rPr>
          <w:rFonts w:ascii="Palatino Linotype" w:hAnsi="Palatino Linotype" w:cs="Calibri Light"/>
          <w:i/>
          <w:iCs/>
          <w:sz w:val="24"/>
          <w:szCs w:val="24"/>
          <w:lang w:val="en-ID" w:eastAsia="en-ID"/>
        </w:rPr>
        <w:t>amānah</w:t>
      </w:r>
      <w:proofErr w:type="spellEnd"/>
      <w:r w:rsidRPr="00B66C79">
        <w:rPr>
          <w:rFonts w:ascii="Palatino Linotype" w:hAnsi="Palatino Linotype" w:cs="Calibri Light"/>
          <w:sz w:val="24"/>
          <w:szCs w:val="24"/>
          <w:lang w:val="en-ID" w:eastAsia="en-ID"/>
        </w:rPr>
        <w:t xml:space="preserve">), and equitable wealth distribution. These principles position Islamic social finance not merely as a religious obligation but as a strategic legal instrument for achieving sustainable socioeconomic development. Within the Indonesian legal system, these values are institutionalized through </w:t>
      </w:r>
      <w:r w:rsidRPr="00B66C79">
        <w:rPr>
          <w:rFonts w:ascii="Palatino Linotype" w:hAnsi="Palatino Linotype" w:cs="Calibri Light"/>
          <w:b/>
          <w:bCs/>
          <w:sz w:val="24"/>
          <w:szCs w:val="24"/>
          <w:lang w:val="en-ID" w:eastAsia="en-ID"/>
        </w:rPr>
        <w:t>Law Number 23 of 2011 concerning Zakat Management</w:t>
      </w:r>
      <w:r w:rsidRPr="00B66C79">
        <w:rPr>
          <w:rFonts w:ascii="Palatino Linotype" w:hAnsi="Palatino Linotype" w:cs="Calibri Light"/>
          <w:sz w:val="24"/>
          <w:szCs w:val="24"/>
          <w:lang w:val="en-ID" w:eastAsia="en-ID"/>
        </w:rPr>
        <w:t xml:space="preserve">, </w:t>
      </w:r>
      <w:r w:rsidRPr="00B66C79">
        <w:rPr>
          <w:rFonts w:ascii="Palatino Linotype" w:hAnsi="Palatino Linotype" w:cs="Calibri Light"/>
          <w:b/>
          <w:bCs/>
          <w:sz w:val="24"/>
          <w:szCs w:val="24"/>
          <w:lang w:val="en-ID" w:eastAsia="en-ID"/>
        </w:rPr>
        <w:t>Law Number 41 of 2004 concerning Waqf</w:t>
      </w:r>
      <w:r w:rsidRPr="00B66C79">
        <w:rPr>
          <w:rFonts w:ascii="Palatino Linotype" w:hAnsi="Palatino Linotype" w:cs="Calibri Light"/>
          <w:sz w:val="24"/>
          <w:szCs w:val="24"/>
          <w:lang w:val="en-ID" w:eastAsia="en-ID"/>
        </w:rPr>
        <w:t xml:space="preserve">, </w:t>
      </w:r>
      <w:r w:rsidRPr="00B66C79">
        <w:rPr>
          <w:rFonts w:ascii="Palatino Linotype" w:hAnsi="Palatino Linotype" w:cs="Calibri Light"/>
          <w:b/>
          <w:bCs/>
          <w:sz w:val="24"/>
          <w:szCs w:val="24"/>
          <w:lang w:val="en-ID" w:eastAsia="en-ID"/>
        </w:rPr>
        <w:t>Government Regulation Number 42 of 2006</w:t>
      </w:r>
      <w:r w:rsidRPr="00B66C79">
        <w:rPr>
          <w:rFonts w:ascii="Palatino Linotype" w:hAnsi="Palatino Linotype" w:cs="Calibri Light"/>
          <w:sz w:val="24"/>
          <w:szCs w:val="24"/>
          <w:lang w:val="en-ID" w:eastAsia="en-ID"/>
        </w:rPr>
        <w:t>, and several implementing regulations issued by BAZNAS and the Indonesian Waqf Board (BWI). Collectively, these legal instruments establish the normative foundation for transparent governance, institutional accountability, professional management, and productive utilization of Islamic philanthropic assets. Consequently, the governance of Islamic social finance reflects the convergence of Islamic legal values and constitutional principles aimed at promoting sustainable community welfare.</w:t>
      </w:r>
    </w:p>
    <w:p w14:paraId="03B53688" w14:textId="77777777" w:rsidR="00B66C79" w:rsidRPr="00B66C79" w:rsidRDefault="00B66C79" w:rsidP="00B66C79">
      <w:pPr>
        <w:spacing w:line="216" w:lineRule="auto"/>
        <w:ind w:firstLine="720"/>
        <w:jc w:val="both"/>
        <w:rPr>
          <w:rFonts w:ascii="Palatino Linotype" w:hAnsi="Palatino Linotype" w:cs="Calibri Light"/>
          <w:sz w:val="24"/>
          <w:szCs w:val="24"/>
          <w:lang w:val="en-ID" w:eastAsia="en-ID"/>
        </w:rPr>
      </w:pPr>
      <w:r w:rsidRPr="00B66C79">
        <w:rPr>
          <w:rFonts w:ascii="Palatino Linotype" w:hAnsi="Palatino Linotype" w:cs="Calibri Light"/>
          <w:sz w:val="24"/>
          <w:szCs w:val="24"/>
          <w:lang w:val="en-ID" w:eastAsia="en-ID"/>
        </w:rPr>
        <w:t xml:space="preserve">A statutory analysis indicates that the principle of </w:t>
      </w:r>
      <w:proofErr w:type="spellStart"/>
      <w:r w:rsidRPr="00B66C79">
        <w:rPr>
          <w:rFonts w:ascii="Palatino Linotype" w:hAnsi="Palatino Linotype" w:cs="Calibri Light"/>
          <w:i/>
          <w:iCs/>
          <w:sz w:val="24"/>
          <w:szCs w:val="24"/>
          <w:lang w:val="en-ID" w:eastAsia="en-ID"/>
        </w:rPr>
        <w:t>maqā</w:t>
      </w:r>
      <w:r w:rsidRPr="00B66C79">
        <w:rPr>
          <w:rFonts w:ascii="Cambria" w:hAnsi="Cambria" w:cs="Cambria"/>
          <w:i/>
          <w:iCs/>
          <w:sz w:val="24"/>
          <w:szCs w:val="24"/>
          <w:lang w:val="en-ID" w:eastAsia="en-ID"/>
        </w:rPr>
        <w:t>ṣ</w:t>
      </w:r>
      <w:r w:rsidRPr="00B66C79">
        <w:rPr>
          <w:rFonts w:ascii="Palatino Linotype" w:hAnsi="Palatino Linotype" w:cs="Calibri Light"/>
          <w:i/>
          <w:iCs/>
          <w:sz w:val="24"/>
          <w:szCs w:val="24"/>
          <w:lang w:val="en-ID" w:eastAsia="en-ID"/>
        </w:rPr>
        <w:t>id</w:t>
      </w:r>
      <w:proofErr w:type="spellEnd"/>
      <w:r w:rsidRPr="00B66C79">
        <w:rPr>
          <w:rFonts w:ascii="Palatino Linotype" w:hAnsi="Palatino Linotype" w:cs="Calibri Light"/>
          <w:i/>
          <w:iCs/>
          <w:sz w:val="24"/>
          <w:szCs w:val="24"/>
          <w:lang w:val="en-ID" w:eastAsia="en-ID"/>
        </w:rPr>
        <w:t xml:space="preserve"> al-</w:t>
      </w:r>
      <w:proofErr w:type="spellStart"/>
      <w:r w:rsidRPr="00B66C79">
        <w:rPr>
          <w:rFonts w:ascii="Palatino Linotype" w:hAnsi="Palatino Linotype" w:cs="Calibri Light"/>
          <w:i/>
          <w:iCs/>
          <w:sz w:val="24"/>
          <w:szCs w:val="24"/>
          <w:lang w:val="en-ID" w:eastAsia="en-ID"/>
        </w:rPr>
        <w:t>syarī'ah</w:t>
      </w:r>
      <w:proofErr w:type="spellEnd"/>
      <w:r w:rsidRPr="00B66C79">
        <w:rPr>
          <w:rFonts w:ascii="Palatino Linotype" w:hAnsi="Palatino Linotype" w:cs="Calibri Light"/>
          <w:sz w:val="24"/>
          <w:szCs w:val="24"/>
          <w:lang w:val="en-ID" w:eastAsia="en-ID"/>
        </w:rPr>
        <w:t xml:space="preserve"> has been substantially incorporated into Indonesia's legal framework governing Islamic social finance. The protection of wealth (</w:t>
      </w:r>
      <w:proofErr w:type="spellStart"/>
      <w:r w:rsidRPr="00B66C79">
        <w:rPr>
          <w:rFonts w:ascii="Cambria" w:hAnsi="Cambria" w:cs="Cambria"/>
          <w:i/>
          <w:iCs/>
          <w:sz w:val="24"/>
          <w:szCs w:val="24"/>
          <w:lang w:val="en-ID" w:eastAsia="en-ID"/>
        </w:rPr>
        <w:t>ḥ</w:t>
      </w:r>
      <w:r w:rsidRPr="00B66C79">
        <w:rPr>
          <w:rFonts w:ascii="Palatino Linotype" w:hAnsi="Palatino Linotype" w:cs="Calibri Light"/>
          <w:i/>
          <w:iCs/>
          <w:sz w:val="24"/>
          <w:szCs w:val="24"/>
          <w:lang w:val="en-ID" w:eastAsia="en-ID"/>
        </w:rPr>
        <w:t>if</w:t>
      </w:r>
      <w:r w:rsidRPr="00B66C79">
        <w:rPr>
          <w:rFonts w:ascii="Cambria" w:hAnsi="Cambria" w:cs="Cambria"/>
          <w:i/>
          <w:iCs/>
          <w:sz w:val="24"/>
          <w:szCs w:val="24"/>
          <w:lang w:val="en-ID" w:eastAsia="en-ID"/>
        </w:rPr>
        <w:t>ẓ</w:t>
      </w:r>
      <w:proofErr w:type="spellEnd"/>
      <w:r w:rsidRPr="00B66C79">
        <w:rPr>
          <w:rFonts w:ascii="Palatino Linotype" w:hAnsi="Palatino Linotype" w:cs="Calibri Light"/>
          <w:i/>
          <w:iCs/>
          <w:sz w:val="24"/>
          <w:szCs w:val="24"/>
          <w:lang w:val="en-ID" w:eastAsia="en-ID"/>
        </w:rPr>
        <w:t xml:space="preserve"> al-</w:t>
      </w:r>
      <w:proofErr w:type="spellStart"/>
      <w:r w:rsidRPr="00B66C79">
        <w:rPr>
          <w:rFonts w:ascii="Palatino Linotype" w:hAnsi="Palatino Linotype" w:cs="Calibri Light"/>
          <w:i/>
          <w:iCs/>
          <w:sz w:val="24"/>
          <w:szCs w:val="24"/>
          <w:lang w:val="en-ID" w:eastAsia="en-ID"/>
        </w:rPr>
        <w:t>māl</w:t>
      </w:r>
      <w:proofErr w:type="spellEnd"/>
      <w:r w:rsidRPr="00B66C79">
        <w:rPr>
          <w:rFonts w:ascii="Palatino Linotype" w:hAnsi="Palatino Linotype" w:cs="Calibri Light"/>
          <w:sz w:val="24"/>
          <w:szCs w:val="24"/>
          <w:lang w:val="en-ID" w:eastAsia="en-ID"/>
        </w:rPr>
        <w:t>) is reflected in regulations requiring professional management and safeguarding of zakat and waqf assets, while the principle of public welfare (</w:t>
      </w:r>
      <w:proofErr w:type="spellStart"/>
      <w:r w:rsidRPr="00B66C79">
        <w:rPr>
          <w:rFonts w:ascii="Palatino Linotype" w:hAnsi="Palatino Linotype" w:cs="Calibri Light"/>
          <w:i/>
          <w:iCs/>
          <w:sz w:val="24"/>
          <w:szCs w:val="24"/>
          <w:lang w:val="en-ID" w:eastAsia="en-ID"/>
        </w:rPr>
        <w:t>ma</w:t>
      </w:r>
      <w:r w:rsidRPr="00B66C79">
        <w:rPr>
          <w:rFonts w:ascii="Cambria" w:hAnsi="Cambria" w:cs="Cambria"/>
          <w:i/>
          <w:iCs/>
          <w:sz w:val="24"/>
          <w:szCs w:val="24"/>
          <w:lang w:val="en-ID" w:eastAsia="en-ID"/>
        </w:rPr>
        <w:t>ṣ</w:t>
      </w:r>
      <w:r w:rsidRPr="00B66C79">
        <w:rPr>
          <w:rFonts w:ascii="Palatino Linotype" w:hAnsi="Palatino Linotype" w:cs="Calibri Light"/>
          <w:i/>
          <w:iCs/>
          <w:sz w:val="24"/>
          <w:szCs w:val="24"/>
          <w:lang w:val="en-ID" w:eastAsia="en-ID"/>
        </w:rPr>
        <w:t>la</w:t>
      </w:r>
      <w:r w:rsidRPr="00B66C79">
        <w:rPr>
          <w:rFonts w:ascii="Cambria" w:hAnsi="Cambria" w:cs="Cambria"/>
          <w:i/>
          <w:iCs/>
          <w:sz w:val="24"/>
          <w:szCs w:val="24"/>
          <w:lang w:val="en-ID" w:eastAsia="en-ID"/>
        </w:rPr>
        <w:t>ḥ</w:t>
      </w:r>
      <w:r w:rsidRPr="00B66C79">
        <w:rPr>
          <w:rFonts w:ascii="Palatino Linotype" w:hAnsi="Palatino Linotype" w:cs="Calibri Light"/>
          <w:i/>
          <w:iCs/>
          <w:sz w:val="24"/>
          <w:szCs w:val="24"/>
          <w:lang w:val="en-ID" w:eastAsia="en-ID"/>
        </w:rPr>
        <w:t>ah</w:t>
      </w:r>
      <w:proofErr w:type="spellEnd"/>
      <w:r w:rsidRPr="00B66C79">
        <w:rPr>
          <w:rFonts w:ascii="Palatino Linotype" w:hAnsi="Palatino Linotype" w:cs="Calibri Light"/>
          <w:sz w:val="24"/>
          <w:szCs w:val="24"/>
          <w:lang w:val="en-ID" w:eastAsia="en-ID"/>
        </w:rPr>
        <w:t>) is manifested through legal provisions encouraging productive utilization of Islamic social finance to alleviate poverty and improve economic resilience. Likewise, the principle of justice is embodied in legal mechanisms ensuring that zakat distribution prioritizes eligible beneficiaries (</w:t>
      </w:r>
      <w:proofErr w:type="spellStart"/>
      <w:r w:rsidRPr="00B66C79">
        <w:rPr>
          <w:rFonts w:ascii="Palatino Linotype" w:hAnsi="Palatino Linotype" w:cs="Calibri Light"/>
          <w:i/>
          <w:iCs/>
          <w:sz w:val="24"/>
          <w:szCs w:val="24"/>
          <w:lang w:val="en-ID" w:eastAsia="en-ID"/>
        </w:rPr>
        <w:t>musta</w:t>
      </w:r>
      <w:r w:rsidRPr="00B66C79">
        <w:rPr>
          <w:rFonts w:ascii="Cambria" w:hAnsi="Cambria" w:cs="Cambria"/>
          <w:i/>
          <w:iCs/>
          <w:sz w:val="24"/>
          <w:szCs w:val="24"/>
          <w:lang w:val="en-ID" w:eastAsia="en-ID"/>
        </w:rPr>
        <w:t>ḥ</w:t>
      </w:r>
      <w:r w:rsidRPr="00B66C79">
        <w:rPr>
          <w:rFonts w:ascii="Palatino Linotype" w:hAnsi="Palatino Linotype" w:cs="Calibri Light"/>
          <w:i/>
          <w:iCs/>
          <w:sz w:val="24"/>
          <w:szCs w:val="24"/>
          <w:lang w:val="en-ID" w:eastAsia="en-ID"/>
        </w:rPr>
        <w:t>iq</w:t>
      </w:r>
      <w:proofErr w:type="spellEnd"/>
      <w:r w:rsidRPr="00B66C79">
        <w:rPr>
          <w:rFonts w:ascii="Palatino Linotype" w:hAnsi="Palatino Linotype" w:cs="Calibri Light"/>
          <w:sz w:val="24"/>
          <w:szCs w:val="24"/>
          <w:lang w:val="en-ID" w:eastAsia="en-ID"/>
        </w:rPr>
        <w:t>) according to Islamic legal criteria. This demonstrates that Indonesian legislation has not merely adopted Islamic terminology but has translated Islamic legal objectives into operational governance standards that promote accountability, transparency, and equitable distribution of economic resources.</w:t>
      </w:r>
    </w:p>
    <w:p w14:paraId="59F9BA99" w14:textId="77777777" w:rsidR="00B66C79" w:rsidRPr="00B66C79" w:rsidRDefault="00B66C79" w:rsidP="00B66C79">
      <w:pPr>
        <w:spacing w:line="216" w:lineRule="auto"/>
        <w:ind w:firstLine="720"/>
        <w:jc w:val="both"/>
        <w:rPr>
          <w:rFonts w:ascii="Palatino Linotype" w:hAnsi="Palatino Linotype" w:cs="Calibri Light"/>
          <w:sz w:val="24"/>
          <w:szCs w:val="24"/>
          <w:lang w:val="en-ID" w:eastAsia="en-ID"/>
        </w:rPr>
      </w:pPr>
      <w:r w:rsidRPr="00B66C79">
        <w:rPr>
          <w:rFonts w:ascii="Palatino Linotype" w:hAnsi="Palatino Linotype" w:cs="Calibri Light"/>
          <w:sz w:val="24"/>
          <w:szCs w:val="24"/>
          <w:lang w:val="en-ID" w:eastAsia="en-ID"/>
        </w:rPr>
        <w:t xml:space="preserve">The analysis further demonstrates that the principle of </w:t>
      </w:r>
      <w:r w:rsidRPr="00B66C79">
        <w:rPr>
          <w:rFonts w:ascii="Palatino Linotype" w:hAnsi="Palatino Linotype" w:cs="Calibri Light"/>
          <w:b/>
          <w:bCs/>
          <w:sz w:val="24"/>
          <w:szCs w:val="24"/>
          <w:lang w:val="en-ID" w:eastAsia="en-ID"/>
        </w:rPr>
        <w:t>good governance</w:t>
      </w:r>
      <w:r w:rsidRPr="00B66C79">
        <w:rPr>
          <w:rFonts w:ascii="Palatino Linotype" w:hAnsi="Palatino Linotype" w:cs="Calibri Light"/>
          <w:sz w:val="24"/>
          <w:szCs w:val="24"/>
          <w:lang w:val="en-ID" w:eastAsia="en-ID"/>
        </w:rPr>
        <w:t xml:space="preserve"> has become an integral component of Islamic social finance regulation. Existing legislation requires zakat and waqf institutions to implement transparent financial management, periodic reporting, internal supervision, and external accountability mechanisms. These governance requirements correspond closely with internationally recognized principles of accountability, participation, </w:t>
      </w:r>
      <w:r w:rsidRPr="00B66C79">
        <w:rPr>
          <w:rFonts w:ascii="Palatino Linotype" w:hAnsi="Palatino Linotype" w:cs="Calibri Light"/>
          <w:sz w:val="24"/>
          <w:szCs w:val="24"/>
          <w:lang w:val="en-ID" w:eastAsia="en-ID"/>
        </w:rPr>
        <w:lastRenderedPageBreak/>
        <w:t>effectiveness, transparency, and institutional integrity. Consequently, the governance of Islamic social finance in Indonesia reflects a dual legal orientation, integrating Islamic ethical values with modern public administration standards. Such integration strengthens institutional legitimacy by ensuring that religious obligations are administered through legally accountable organizations capable of maintaining public confidence and enhancing the credibility of Islamic social finance institutions.</w:t>
      </w:r>
    </w:p>
    <w:p w14:paraId="5C786C74" w14:textId="77777777" w:rsidR="00B66C79" w:rsidRPr="00B66C79" w:rsidRDefault="00B66C79" w:rsidP="00B66C79">
      <w:pPr>
        <w:spacing w:line="216" w:lineRule="auto"/>
        <w:ind w:firstLine="720"/>
        <w:jc w:val="both"/>
        <w:rPr>
          <w:rFonts w:ascii="Palatino Linotype" w:hAnsi="Palatino Linotype" w:cs="Calibri Light"/>
          <w:sz w:val="24"/>
          <w:szCs w:val="24"/>
          <w:lang w:val="en-ID" w:eastAsia="en-ID"/>
        </w:rPr>
      </w:pPr>
      <w:r w:rsidRPr="00B66C79">
        <w:rPr>
          <w:rFonts w:ascii="Palatino Linotype" w:hAnsi="Palatino Linotype" w:cs="Calibri Light"/>
          <w:sz w:val="24"/>
          <w:szCs w:val="24"/>
          <w:lang w:val="en-ID" w:eastAsia="en-ID"/>
        </w:rPr>
        <w:t xml:space="preserve">Another important legal principle identified in this study is the </w:t>
      </w:r>
      <w:r w:rsidRPr="00B66C79">
        <w:rPr>
          <w:rFonts w:ascii="Palatino Linotype" w:hAnsi="Palatino Linotype" w:cs="Calibri Light"/>
          <w:b/>
          <w:bCs/>
          <w:sz w:val="24"/>
          <w:szCs w:val="24"/>
          <w:lang w:val="en-ID" w:eastAsia="en-ID"/>
        </w:rPr>
        <w:t>rule of law</w:t>
      </w:r>
      <w:r w:rsidRPr="00B66C79">
        <w:rPr>
          <w:rFonts w:ascii="Palatino Linotype" w:hAnsi="Palatino Linotype" w:cs="Calibri Light"/>
          <w:sz w:val="24"/>
          <w:szCs w:val="24"/>
          <w:lang w:val="en-ID" w:eastAsia="en-ID"/>
        </w:rPr>
        <w:t xml:space="preserve">, which requires all institutions administering Islamic social finance to operate within clearly defined legal authority and statutory responsibilities. Indonesian positive law establishes BAZNAS as the principal authority responsible for national zakat management, while the Indonesian Waqf Board (BWI) exercises authority over waqf administration and supervision. This allocation of institutional authority promotes legal certainty by defining organizational responsibilities and administrative procedures. Nevertheless, the analysis reveals that although the legal framework clearly determines institutional authority, it provides relatively limited provisions regarding integrated governance among institutions administering zakat, </w:t>
      </w:r>
      <w:proofErr w:type="spellStart"/>
      <w:r w:rsidRPr="00B66C79">
        <w:rPr>
          <w:rFonts w:ascii="Palatino Linotype" w:hAnsi="Palatino Linotype" w:cs="Calibri Light"/>
          <w:sz w:val="24"/>
          <w:szCs w:val="24"/>
          <w:lang w:val="en-ID" w:eastAsia="en-ID"/>
        </w:rPr>
        <w:t>infaq</w:t>
      </w:r>
      <w:proofErr w:type="spellEnd"/>
      <w:r w:rsidRPr="00B66C79">
        <w:rPr>
          <w:rFonts w:ascii="Palatino Linotype" w:hAnsi="Palatino Linotype" w:cs="Calibri Light"/>
          <w:sz w:val="24"/>
          <w:szCs w:val="24"/>
          <w:lang w:val="en-ID" w:eastAsia="en-ID"/>
        </w:rPr>
        <w:t>, and productive waqf. Consequently, legal certainty concerning institutional mandates has been achieved, whereas legal certainty concerning collaborative governance remains comparatively underdeveloped.</w:t>
      </w:r>
    </w:p>
    <w:p w14:paraId="194F683C" w14:textId="77777777" w:rsidR="00804662" w:rsidRDefault="00804662" w:rsidP="0074288E">
      <w:pPr>
        <w:spacing w:line="216" w:lineRule="auto"/>
        <w:ind w:firstLine="720"/>
        <w:jc w:val="both"/>
        <w:rPr>
          <w:rFonts w:ascii="Palatino Linotype" w:hAnsi="Palatino Linotype" w:cs="Calibri Light"/>
          <w:sz w:val="24"/>
          <w:szCs w:val="24"/>
          <w:lang w:val="id-ID" w:eastAsia="en-ID"/>
        </w:rPr>
      </w:pPr>
    </w:p>
    <w:p w14:paraId="42D3C4C4" w14:textId="7D71036A" w:rsidR="00804662" w:rsidRPr="00804662" w:rsidRDefault="00B66C79" w:rsidP="0074288E">
      <w:pPr>
        <w:spacing w:line="216" w:lineRule="auto"/>
        <w:jc w:val="center"/>
        <w:rPr>
          <w:rFonts w:ascii="Palatino Linotype" w:hAnsi="Palatino Linotype" w:cs="Calibri Light"/>
          <w:b/>
          <w:bCs/>
          <w:sz w:val="20"/>
          <w:lang w:val="id-ID" w:eastAsia="en-ID"/>
        </w:rPr>
      </w:pPr>
      <w:r w:rsidRPr="00B66C79">
        <w:rPr>
          <w:rFonts w:ascii="Palatino Linotype" w:hAnsi="Palatino Linotype" w:cs="Calibri Light"/>
          <w:b/>
          <w:bCs/>
          <w:sz w:val="20"/>
          <w:lang w:eastAsia="en-ID"/>
        </w:rPr>
        <w:t>Table 1. Legal Principles Underpinning the Governance of Islamic Social Financ</w:t>
      </w:r>
      <w:r>
        <w:rPr>
          <w:rFonts w:ascii="Palatino Linotype" w:hAnsi="Palatino Linotype" w:cs="Calibri Light"/>
          <w:b/>
          <w:bCs/>
          <w:sz w:val="20"/>
          <w:lang w:eastAsia="en-ID"/>
        </w:rPr>
        <w:t>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03"/>
        <w:gridCol w:w="2434"/>
        <w:gridCol w:w="2418"/>
        <w:gridCol w:w="2050"/>
      </w:tblGrid>
      <w:tr w:rsidR="00B66C79" w:rsidRPr="00B66C79" w14:paraId="6ECC8244" w14:textId="77777777" w:rsidTr="00B66C79">
        <w:tc>
          <w:tcPr>
            <w:tcW w:w="0" w:type="auto"/>
            <w:hideMark/>
          </w:tcPr>
          <w:p w14:paraId="712FE224" w14:textId="77777777" w:rsidR="00B66C79" w:rsidRPr="00B66C79" w:rsidRDefault="00B66C79" w:rsidP="00B66C79">
            <w:pPr>
              <w:spacing w:line="216" w:lineRule="auto"/>
              <w:jc w:val="both"/>
              <w:rPr>
                <w:rFonts w:ascii="Palatino Linotype" w:hAnsi="Palatino Linotype" w:cs="Calibri Light"/>
                <w:b/>
                <w:bCs/>
                <w:sz w:val="20"/>
                <w:lang w:val="en-ID" w:eastAsia="en-ID"/>
              </w:rPr>
            </w:pPr>
            <w:r w:rsidRPr="00B66C79">
              <w:rPr>
                <w:rFonts w:ascii="Palatino Linotype" w:hAnsi="Palatino Linotype" w:cs="Calibri Light"/>
                <w:b/>
                <w:bCs/>
                <w:sz w:val="20"/>
                <w:lang w:val="en-ID" w:eastAsia="en-ID"/>
              </w:rPr>
              <w:t>Legal Principle</w:t>
            </w:r>
          </w:p>
        </w:tc>
        <w:tc>
          <w:tcPr>
            <w:tcW w:w="0" w:type="auto"/>
            <w:hideMark/>
          </w:tcPr>
          <w:p w14:paraId="55037397" w14:textId="77777777" w:rsidR="00B66C79" w:rsidRPr="00B66C79" w:rsidRDefault="00B66C79" w:rsidP="00B66C79">
            <w:pPr>
              <w:spacing w:line="216" w:lineRule="auto"/>
              <w:jc w:val="both"/>
              <w:rPr>
                <w:rFonts w:ascii="Palatino Linotype" w:hAnsi="Palatino Linotype" w:cs="Calibri Light"/>
                <w:b/>
                <w:bCs/>
                <w:sz w:val="20"/>
                <w:lang w:val="en-ID" w:eastAsia="en-ID"/>
              </w:rPr>
            </w:pPr>
            <w:r w:rsidRPr="00B66C79">
              <w:rPr>
                <w:rFonts w:ascii="Palatino Linotype" w:hAnsi="Palatino Linotype" w:cs="Calibri Light"/>
                <w:b/>
                <w:bCs/>
                <w:sz w:val="20"/>
                <w:lang w:val="en-ID" w:eastAsia="en-ID"/>
              </w:rPr>
              <w:t>Islamic Economic Law Perspective</w:t>
            </w:r>
          </w:p>
        </w:tc>
        <w:tc>
          <w:tcPr>
            <w:tcW w:w="0" w:type="auto"/>
            <w:hideMark/>
          </w:tcPr>
          <w:p w14:paraId="00765315" w14:textId="77777777" w:rsidR="00B66C79" w:rsidRPr="00B66C79" w:rsidRDefault="00B66C79" w:rsidP="00B66C79">
            <w:pPr>
              <w:spacing w:line="216" w:lineRule="auto"/>
              <w:jc w:val="both"/>
              <w:rPr>
                <w:rFonts w:ascii="Palatino Linotype" w:hAnsi="Palatino Linotype" w:cs="Calibri Light"/>
                <w:b/>
                <w:bCs/>
                <w:sz w:val="20"/>
                <w:lang w:val="en-ID" w:eastAsia="en-ID"/>
              </w:rPr>
            </w:pPr>
            <w:r w:rsidRPr="00B66C79">
              <w:rPr>
                <w:rFonts w:ascii="Palatino Linotype" w:hAnsi="Palatino Linotype" w:cs="Calibri Light"/>
                <w:b/>
                <w:bCs/>
                <w:sz w:val="20"/>
                <w:lang w:val="en-ID" w:eastAsia="en-ID"/>
              </w:rPr>
              <w:t>Indonesian Positive Law Perspective</w:t>
            </w:r>
          </w:p>
        </w:tc>
        <w:tc>
          <w:tcPr>
            <w:tcW w:w="0" w:type="auto"/>
            <w:hideMark/>
          </w:tcPr>
          <w:p w14:paraId="565DFD55" w14:textId="77777777" w:rsidR="00B66C79" w:rsidRPr="00B66C79" w:rsidRDefault="00B66C79" w:rsidP="00B66C79">
            <w:pPr>
              <w:spacing w:line="216" w:lineRule="auto"/>
              <w:jc w:val="both"/>
              <w:rPr>
                <w:rFonts w:ascii="Palatino Linotype" w:hAnsi="Palatino Linotype" w:cs="Calibri Light"/>
                <w:b/>
                <w:bCs/>
                <w:sz w:val="20"/>
                <w:lang w:val="en-ID" w:eastAsia="en-ID"/>
              </w:rPr>
            </w:pPr>
            <w:r w:rsidRPr="00B66C79">
              <w:rPr>
                <w:rFonts w:ascii="Palatino Linotype" w:hAnsi="Palatino Linotype" w:cs="Calibri Light"/>
                <w:b/>
                <w:bCs/>
                <w:sz w:val="20"/>
                <w:lang w:val="en-ID" w:eastAsia="en-ID"/>
              </w:rPr>
              <w:t>Governance Implication</w:t>
            </w:r>
          </w:p>
        </w:tc>
      </w:tr>
      <w:tr w:rsidR="00B66C79" w:rsidRPr="00B66C79" w14:paraId="3C8B3CD4" w14:textId="77777777" w:rsidTr="00B66C79">
        <w:tc>
          <w:tcPr>
            <w:tcW w:w="0" w:type="auto"/>
            <w:hideMark/>
          </w:tcPr>
          <w:p w14:paraId="36AE4E95" w14:textId="77777777" w:rsidR="00B66C79" w:rsidRPr="00B66C79" w:rsidRDefault="00B66C79" w:rsidP="00B66C79">
            <w:pPr>
              <w:spacing w:line="216" w:lineRule="auto"/>
              <w:jc w:val="both"/>
              <w:rPr>
                <w:rFonts w:ascii="Palatino Linotype" w:hAnsi="Palatino Linotype" w:cs="Calibri Light"/>
                <w:sz w:val="20"/>
                <w:lang w:val="en-ID" w:eastAsia="en-ID"/>
              </w:rPr>
            </w:pPr>
            <w:proofErr w:type="spellStart"/>
            <w:r w:rsidRPr="00B66C79">
              <w:rPr>
                <w:rFonts w:ascii="Palatino Linotype" w:hAnsi="Palatino Linotype" w:cs="Calibri Light"/>
                <w:sz w:val="20"/>
                <w:lang w:val="en-ID" w:eastAsia="en-ID"/>
              </w:rPr>
              <w:t>Maqā</w:t>
            </w:r>
            <w:r w:rsidRPr="00B66C79">
              <w:rPr>
                <w:rFonts w:ascii="Cambria" w:hAnsi="Cambria" w:cs="Cambria"/>
                <w:sz w:val="20"/>
                <w:lang w:val="en-ID" w:eastAsia="en-ID"/>
              </w:rPr>
              <w:t>ṣ</w:t>
            </w:r>
            <w:r w:rsidRPr="00B66C79">
              <w:rPr>
                <w:rFonts w:ascii="Palatino Linotype" w:hAnsi="Palatino Linotype" w:cs="Calibri Light"/>
                <w:sz w:val="20"/>
                <w:lang w:val="en-ID" w:eastAsia="en-ID"/>
              </w:rPr>
              <w:t>id</w:t>
            </w:r>
            <w:proofErr w:type="spellEnd"/>
            <w:r w:rsidRPr="00B66C79">
              <w:rPr>
                <w:rFonts w:ascii="Palatino Linotype" w:hAnsi="Palatino Linotype" w:cs="Calibri Light"/>
                <w:sz w:val="20"/>
                <w:lang w:val="en-ID" w:eastAsia="en-ID"/>
              </w:rPr>
              <w:t xml:space="preserve"> al-Syarī'ah</w:t>
            </w:r>
          </w:p>
        </w:tc>
        <w:tc>
          <w:tcPr>
            <w:tcW w:w="0" w:type="auto"/>
            <w:hideMark/>
          </w:tcPr>
          <w:p w14:paraId="580988E9" w14:textId="77777777" w:rsidR="00B66C79" w:rsidRPr="00B66C79" w:rsidRDefault="00B66C79" w:rsidP="00B66C79">
            <w:pPr>
              <w:spacing w:line="216" w:lineRule="auto"/>
              <w:jc w:val="both"/>
              <w:rPr>
                <w:rFonts w:ascii="Palatino Linotype" w:hAnsi="Palatino Linotype" w:cs="Calibri Light"/>
                <w:sz w:val="20"/>
                <w:lang w:val="en-ID" w:eastAsia="en-ID"/>
              </w:rPr>
            </w:pPr>
            <w:r w:rsidRPr="00B66C79">
              <w:rPr>
                <w:rFonts w:ascii="Palatino Linotype" w:hAnsi="Palatino Linotype" w:cs="Calibri Light"/>
                <w:sz w:val="20"/>
                <w:lang w:val="en-ID" w:eastAsia="en-ID"/>
              </w:rPr>
              <w:t>Protection of religion (</w:t>
            </w:r>
            <w:proofErr w:type="spellStart"/>
            <w:r w:rsidRPr="00B66C79">
              <w:rPr>
                <w:rFonts w:ascii="Palatino Linotype" w:hAnsi="Palatino Linotype" w:cs="Calibri Light"/>
                <w:sz w:val="20"/>
                <w:lang w:val="en-ID" w:eastAsia="en-ID"/>
              </w:rPr>
              <w:t>dīn</w:t>
            </w:r>
            <w:proofErr w:type="spellEnd"/>
            <w:r w:rsidRPr="00B66C79">
              <w:rPr>
                <w:rFonts w:ascii="Palatino Linotype" w:hAnsi="Palatino Linotype" w:cs="Calibri Light"/>
                <w:sz w:val="20"/>
                <w:lang w:val="en-ID" w:eastAsia="en-ID"/>
              </w:rPr>
              <w:t>), wealth (</w:t>
            </w:r>
            <w:proofErr w:type="spellStart"/>
            <w:r w:rsidRPr="00B66C79">
              <w:rPr>
                <w:rFonts w:ascii="Palatino Linotype" w:hAnsi="Palatino Linotype" w:cs="Calibri Light"/>
                <w:sz w:val="20"/>
                <w:lang w:val="en-ID" w:eastAsia="en-ID"/>
              </w:rPr>
              <w:t>māl</w:t>
            </w:r>
            <w:proofErr w:type="spellEnd"/>
            <w:r w:rsidRPr="00B66C79">
              <w:rPr>
                <w:rFonts w:ascii="Palatino Linotype" w:hAnsi="Palatino Linotype" w:cs="Calibri Light"/>
                <w:sz w:val="20"/>
                <w:lang w:val="en-ID" w:eastAsia="en-ID"/>
              </w:rPr>
              <w:t>), life (</w:t>
            </w:r>
            <w:proofErr w:type="spellStart"/>
            <w:r w:rsidRPr="00B66C79">
              <w:rPr>
                <w:rFonts w:ascii="Palatino Linotype" w:hAnsi="Palatino Linotype" w:cs="Calibri Light"/>
                <w:sz w:val="20"/>
                <w:lang w:val="en-ID" w:eastAsia="en-ID"/>
              </w:rPr>
              <w:t>nafs</w:t>
            </w:r>
            <w:proofErr w:type="spellEnd"/>
            <w:r w:rsidRPr="00B66C79">
              <w:rPr>
                <w:rFonts w:ascii="Palatino Linotype" w:hAnsi="Palatino Linotype" w:cs="Calibri Light"/>
                <w:sz w:val="20"/>
                <w:lang w:val="en-ID" w:eastAsia="en-ID"/>
              </w:rPr>
              <w:t>), intellect (</w:t>
            </w:r>
            <w:proofErr w:type="spellStart"/>
            <w:r w:rsidRPr="00B66C79">
              <w:rPr>
                <w:sz w:val="20"/>
                <w:lang w:val="en-ID" w:eastAsia="en-ID"/>
              </w:rPr>
              <w:t>ʿ</w:t>
            </w:r>
            <w:r w:rsidRPr="00B66C79">
              <w:rPr>
                <w:rFonts w:ascii="Palatino Linotype" w:hAnsi="Palatino Linotype" w:cs="Calibri Light"/>
                <w:sz w:val="20"/>
                <w:lang w:val="en-ID" w:eastAsia="en-ID"/>
              </w:rPr>
              <w:t>aql</w:t>
            </w:r>
            <w:proofErr w:type="spellEnd"/>
            <w:r w:rsidRPr="00B66C79">
              <w:rPr>
                <w:rFonts w:ascii="Palatino Linotype" w:hAnsi="Palatino Linotype" w:cs="Calibri Light"/>
                <w:sz w:val="20"/>
                <w:lang w:val="en-ID" w:eastAsia="en-ID"/>
              </w:rPr>
              <w:t>), and lineage (</w:t>
            </w:r>
            <w:proofErr w:type="spellStart"/>
            <w:r w:rsidRPr="00B66C79">
              <w:rPr>
                <w:rFonts w:ascii="Palatino Linotype" w:hAnsi="Palatino Linotype" w:cs="Calibri Light"/>
                <w:sz w:val="20"/>
                <w:lang w:val="en-ID" w:eastAsia="en-ID"/>
              </w:rPr>
              <w:t>nasl</w:t>
            </w:r>
            <w:proofErr w:type="spellEnd"/>
            <w:r w:rsidRPr="00B66C79">
              <w:rPr>
                <w:rFonts w:ascii="Palatino Linotype" w:hAnsi="Palatino Linotype" w:cs="Calibri Light"/>
                <w:sz w:val="20"/>
                <w:lang w:val="en-ID" w:eastAsia="en-ID"/>
              </w:rPr>
              <w:t>) as the primary objectives of Islamic law.</w:t>
            </w:r>
          </w:p>
        </w:tc>
        <w:tc>
          <w:tcPr>
            <w:tcW w:w="0" w:type="auto"/>
            <w:hideMark/>
          </w:tcPr>
          <w:p w14:paraId="00D64A3C" w14:textId="77777777" w:rsidR="00B66C79" w:rsidRPr="00B66C79" w:rsidRDefault="00B66C79" w:rsidP="00B66C79">
            <w:pPr>
              <w:spacing w:line="216" w:lineRule="auto"/>
              <w:jc w:val="both"/>
              <w:rPr>
                <w:rFonts w:ascii="Palatino Linotype" w:hAnsi="Palatino Linotype" w:cs="Calibri Light"/>
                <w:sz w:val="20"/>
                <w:lang w:val="en-ID" w:eastAsia="en-ID"/>
              </w:rPr>
            </w:pPr>
            <w:r w:rsidRPr="00B66C79">
              <w:rPr>
                <w:rFonts w:ascii="Palatino Linotype" w:hAnsi="Palatino Linotype" w:cs="Calibri Light"/>
                <w:sz w:val="20"/>
                <w:lang w:val="en-ID" w:eastAsia="en-ID"/>
              </w:rPr>
              <w:t>Reflected in Law No. 23 of 2011 on Zakat Management and Law No. 41 of 2004 on Waqf, emphasizing social welfare and public benefit.</w:t>
            </w:r>
          </w:p>
        </w:tc>
        <w:tc>
          <w:tcPr>
            <w:tcW w:w="0" w:type="auto"/>
            <w:hideMark/>
          </w:tcPr>
          <w:p w14:paraId="37EA8F61" w14:textId="77777777" w:rsidR="00B66C79" w:rsidRPr="00B66C79" w:rsidRDefault="00B66C79" w:rsidP="00B66C79">
            <w:pPr>
              <w:spacing w:line="216" w:lineRule="auto"/>
              <w:jc w:val="both"/>
              <w:rPr>
                <w:rFonts w:ascii="Palatino Linotype" w:hAnsi="Palatino Linotype" w:cs="Calibri Light"/>
                <w:sz w:val="20"/>
                <w:lang w:val="en-ID" w:eastAsia="en-ID"/>
              </w:rPr>
            </w:pPr>
            <w:r w:rsidRPr="00B66C79">
              <w:rPr>
                <w:rFonts w:ascii="Palatino Linotype" w:hAnsi="Palatino Linotype" w:cs="Calibri Light"/>
                <w:sz w:val="20"/>
                <w:lang w:val="en-ID" w:eastAsia="en-ID"/>
              </w:rPr>
              <w:t>Promotes sustainable public welfare through the effective utilization of Islamic social finance.</w:t>
            </w:r>
          </w:p>
        </w:tc>
      </w:tr>
      <w:tr w:rsidR="00B66C79" w:rsidRPr="00B66C79" w14:paraId="7AABF981" w14:textId="77777777" w:rsidTr="00B66C79">
        <w:tc>
          <w:tcPr>
            <w:tcW w:w="0" w:type="auto"/>
            <w:hideMark/>
          </w:tcPr>
          <w:p w14:paraId="44A965FC" w14:textId="77777777" w:rsidR="00B66C79" w:rsidRPr="00B66C79" w:rsidRDefault="00B66C79" w:rsidP="00B66C79">
            <w:pPr>
              <w:spacing w:line="216" w:lineRule="auto"/>
              <w:jc w:val="both"/>
              <w:rPr>
                <w:rFonts w:ascii="Palatino Linotype" w:hAnsi="Palatino Linotype" w:cs="Calibri Light"/>
                <w:sz w:val="20"/>
                <w:lang w:val="en-ID" w:eastAsia="en-ID"/>
              </w:rPr>
            </w:pPr>
            <w:r w:rsidRPr="00B66C79">
              <w:rPr>
                <w:rFonts w:ascii="Palatino Linotype" w:hAnsi="Palatino Linotype" w:cs="Calibri Light"/>
                <w:sz w:val="20"/>
                <w:lang w:val="en-ID" w:eastAsia="en-ID"/>
              </w:rPr>
              <w:t>Justice ('Adl)</w:t>
            </w:r>
          </w:p>
        </w:tc>
        <w:tc>
          <w:tcPr>
            <w:tcW w:w="0" w:type="auto"/>
            <w:hideMark/>
          </w:tcPr>
          <w:p w14:paraId="31BA4DA3" w14:textId="77777777" w:rsidR="00B66C79" w:rsidRPr="00B66C79" w:rsidRDefault="00B66C79" w:rsidP="00B66C79">
            <w:pPr>
              <w:spacing w:line="216" w:lineRule="auto"/>
              <w:jc w:val="both"/>
              <w:rPr>
                <w:rFonts w:ascii="Palatino Linotype" w:hAnsi="Palatino Linotype" w:cs="Calibri Light"/>
                <w:sz w:val="20"/>
                <w:lang w:val="en-ID" w:eastAsia="en-ID"/>
              </w:rPr>
            </w:pPr>
            <w:r w:rsidRPr="00B66C79">
              <w:rPr>
                <w:rFonts w:ascii="Palatino Linotype" w:hAnsi="Palatino Linotype" w:cs="Calibri Light"/>
                <w:sz w:val="20"/>
                <w:lang w:val="en-ID" w:eastAsia="en-ID"/>
              </w:rPr>
              <w:t>Ensures equitable distribution of wealth, fairness, and social justice in managing zakat, waqf, and other Islamic social funds.</w:t>
            </w:r>
          </w:p>
        </w:tc>
        <w:tc>
          <w:tcPr>
            <w:tcW w:w="0" w:type="auto"/>
            <w:hideMark/>
          </w:tcPr>
          <w:p w14:paraId="53413EEE" w14:textId="77777777" w:rsidR="00B66C79" w:rsidRPr="00B66C79" w:rsidRDefault="00B66C79" w:rsidP="00B66C79">
            <w:pPr>
              <w:spacing w:line="216" w:lineRule="auto"/>
              <w:jc w:val="both"/>
              <w:rPr>
                <w:rFonts w:ascii="Palatino Linotype" w:hAnsi="Palatino Linotype" w:cs="Calibri Light"/>
                <w:sz w:val="20"/>
                <w:lang w:val="en-ID" w:eastAsia="en-ID"/>
              </w:rPr>
            </w:pPr>
            <w:r w:rsidRPr="00B66C79">
              <w:rPr>
                <w:rFonts w:ascii="Palatino Linotype" w:hAnsi="Palatino Linotype" w:cs="Calibri Light"/>
                <w:sz w:val="20"/>
                <w:lang w:val="en-ID" w:eastAsia="en-ID"/>
              </w:rPr>
              <w:t>Provides legal protection for beneficiaries and safeguards public interests through statutory regulation.</w:t>
            </w:r>
          </w:p>
        </w:tc>
        <w:tc>
          <w:tcPr>
            <w:tcW w:w="0" w:type="auto"/>
            <w:hideMark/>
          </w:tcPr>
          <w:p w14:paraId="09180CB4" w14:textId="77777777" w:rsidR="00B66C79" w:rsidRPr="00B66C79" w:rsidRDefault="00B66C79" w:rsidP="00B66C79">
            <w:pPr>
              <w:spacing w:line="216" w:lineRule="auto"/>
              <w:jc w:val="both"/>
              <w:rPr>
                <w:rFonts w:ascii="Palatino Linotype" w:hAnsi="Palatino Linotype" w:cs="Calibri Light"/>
                <w:sz w:val="20"/>
                <w:lang w:val="en-ID" w:eastAsia="en-ID"/>
              </w:rPr>
            </w:pPr>
            <w:r w:rsidRPr="00B66C79">
              <w:rPr>
                <w:rFonts w:ascii="Palatino Linotype" w:hAnsi="Palatino Linotype" w:cs="Calibri Light"/>
                <w:sz w:val="20"/>
                <w:lang w:val="en-ID" w:eastAsia="en-ID"/>
              </w:rPr>
              <w:t>Supports equitable allocation of resources and reduces socio-economic disparities.</w:t>
            </w:r>
          </w:p>
        </w:tc>
      </w:tr>
      <w:tr w:rsidR="00B66C79" w:rsidRPr="00B66C79" w14:paraId="336FEEE9" w14:textId="77777777" w:rsidTr="00B66C79">
        <w:tc>
          <w:tcPr>
            <w:tcW w:w="0" w:type="auto"/>
            <w:hideMark/>
          </w:tcPr>
          <w:p w14:paraId="328FB8D5" w14:textId="77777777" w:rsidR="00B66C79" w:rsidRPr="00B66C79" w:rsidRDefault="00B66C79" w:rsidP="00B66C79">
            <w:pPr>
              <w:spacing w:line="216" w:lineRule="auto"/>
              <w:jc w:val="both"/>
              <w:rPr>
                <w:rFonts w:ascii="Palatino Linotype" w:hAnsi="Palatino Linotype" w:cs="Calibri Light"/>
                <w:sz w:val="20"/>
                <w:lang w:val="en-ID" w:eastAsia="en-ID"/>
              </w:rPr>
            </w:pPr>
            <w:r w:rsidRPr="00B66C79">
              <w:rPr>
                <w:rFonts w:ascii="Palatino Linotype" w:hAnsi="Palatino Linotype" w:cs="Calibri Light"/>
                <w:sz w:val="20"/>
                <w:lang w:val="en-ID" w:eastAsia="en-ID"/>
              </w:rPr>
              <w:t>Legal Certainty</w:t>
            </w:r>
          </w:p>
        </w:tc>
        <w:tc>
          <w:tcPr>
            <w:tcW w:w="0" w:type="auto"/>
            <w:hideMark/>
          </w:tcPr>
          <w:p w14:paraId="4EB29DAB" w14:textId="77777777" w:rsidR="00B66C79" w:rsidRPr="00B66C79" w:rsidRDefault="00B66C79" w:rsidP="00B66C79">
            <w:pPr>
              <w:spacing w:line="216" w:lineRule="auto"/>
              <w:jc w:val="both"/>
              <w:rPr>
                <w:rFonts w:ascii="Palatino Linotype" w:hAnsi="Palatino Linotype" w:cs="Calibri Light"/>
                <w:sz w:val="20"/>
                <w:lang w:val="en-ID" w:eastAsia="en-ID"/>
              </w:rPr>
            </w:pPr>
            <w:r w:rsidRPr="00B66C79">
              <w:rPr>
                <w:rFonts w:ascii="Palatino Linotype" w:hAnsi="Palatino Linotype" w:cs="Calibri Light"/>
                <w:sz w:val="20"/>
                <w:lang w:val="en-ID" w:eastAsia="en-ID"/>
              </w:rPr>
              <w:t>Requires compliance with Islamic legal principles (</w:t>
            </w:r>
            <w:proofErr w:type="spellStart"/>
            <w:r w:rsidRPr="00B66C79">
              <w:rPr>
                <w:rFonts w:ascii="Palatino Linotype" w:hAnsi="Palatino Linotype" w:cs="Calibri Light"/>
                <w:sz w:val="20"/>
                <w:lang w:val="en-ID" w:eastAsia="en-ID"/>
              </w:rPr>
              <w:t>sharī'ah</w:t>
            </w:r>
            <w:proofErr w:type="spellEnd"/>
            <w:r w:rsidRPr="00B66C79">
              <w:rPr>
                <w:rFonts w:ascii="Palatino Linotype" w:hAnsi="Palatino Linotype" w:cs="Calibri Light"/>
                <w:sz w:val="20"/>
                <w:lang w:val="en-ID" w:eastAsia="en-ID"/>
              </w:rPr>
              <w:t>) and recognized jurisprudential norms.</w:t>
            </w:r>
          </w:p>
        </w:tc>
        <w:tc>
          <w:tcPr>
            <w:tcW w:w="0" w:type="auto"/>
            <w:hideMark/>
          </w:tcPr>
          <w:p w14:paraId="35577E3E" w14:textId="77777777" w:rsidR="00B66C79" w:rsidRPr="00B66C79" w:rsidRDefault="00B66C79" w:rsidP="00B66C79">
            <w:pPr>
              <w:spacing w:line="216" w:lineRule="auto"/>
              <w:jc w:val="both"/>
              <w:rPr>
                <w:rFonts w:ascii="Palatino Linotype" w:hAnsi="Palatino Linotype" w:cs="Calibri Light"/>
                <w:sz w:val="20"/>
                <w:lang w:val="en-ID" w:eastAsia="en-ID"/>
              </w:rPr>
            </w:pPr>
            <w:r w:rsidRPr="00B66C79">
              <w:rPr>
                <w:rFonts w:ascii="Palatino Linotype" w:hAnsi="Palatino Linotype" w:cs="Calibri Light"/>
                <w:sz w:val="20"/>
                <w:lang w:val="en-ID" w:eastAsia="en-ID"/>
              </w:rPr>
              <w:t>Ensures governance is based on statutory regulations, institutional authority, and legal procedures.</w:t>
            </w:r>
          </w:p>
        </w:tc>
        <w:tc>
          <w:tcPr>
            <w:tcW w:w="0" w:type="auto"/>
            <w:hideMark/>
          </w:tcPr>
          <w:p w14:paraId="7892D12F" w14:textId="77777777" w:rsidR="00B66C79" w:rsidRPr="00B66C79" w:rsidRDefault="00B66C79" w:rsidP="00B66C79">
            <w:pPr>
              <w:spacing w:line="216" w:lineRule="auto"/>
              <w:jc w:val="both"/>
              <w:rPr>
                <w:rFonts w:ascii="Palatino Linotype" w:hAnsi="Palatino Linotype" w:cs="Calibri Light"/>
                <w:sz w:val="20"/>
                <w:lang w:val="en-ID" w:eastAsia="en-ID"/>
              </w:rPr>
            </w:pPr>
            <w:r w:rsidRPr="00B66C79">
              <w:rPr>
                <w:rFonts w:ascii="Palatino Linotype" w:hAnsi="Palatino Linotype" w:cs="Calibri Light"/>
                <w:sz w:val="20"/>
                <w:lang w:val="en-ID" w:eastAsia="en-ID"/>
              </w:rPr>
              <w:t>Creates predictable, consistent, and legally secure governance practices.</w:t>
            </w:r>
          </w:p>
        </w:tc>
      </w:tr>
      <w:tr w:rsidR="00B66C79" w:rsidRPr="00B66C79" w14:paraId="30EDF62B" w14:textId="77777777" w:rsidTr="00B66C79">
        <w:tc>
          <w:tcPr>
            <w:tcW w:w="0" w:type="auto"/>
            <w:hideMark/>
          </w:tcPr>
          <w:p w14:paraId="682D3DC7" w14:textId="77777777" w:rsidR="00B66C79" w:rsidRPr="00B66C79" w:rsidRDefault="00B66C79" w:rsidP="00B66C79">
            <w:pPr>
              <w:spacing w:line="216" w:lineRule="auto"/>
              <w:jc w:val="both"/>
              <w:rPr>
                <w:rFonts w:ascii="Palatino Linotype" w:hAnsi="Palatino Linotype" w:cs="Calibri Light"/>
                <w:sz w:val="20"/>
                <w:lang w:val="en-ID" w:eastAsia="en-ID"/>
              </w:rPr>
            </w:pPr>
            <w:r w:rsidRPr="00B66C79">
              <w:rPr>
                <w:rFonts w:ascii="Palatino Linotype" w:hAnsi="Palatino Linotype" w:cs="Calibri Light"/>
                <w:sz w:val="20"/>
                <w:lang w:val="en-ID" w:eastAsia="en-ID"/>
              </w:rPr>
              <w:t>Accountability (</w:t>
            </w:r>
            <w:proofErr w:type="spellStart"/>
            <w:r w:rsidRPr="00B66C79">
              <w:rPr>
                <w:rFonts w:ascii="Palatino Linotype" w:hAnsi="Palatino Linotype" w:cs="Calibri Light"/>
                <w:sz w:val="20"/>
                <w:lang w:val="en-ID" w:eastAsia="en-ID"/>
              </w:rPr>
              <w:t>Amānah</w:t>
            </w:r>
            <w:proofErr w:type="spellEnd"/>
            <w:r w:rsidRPr="00B66C79">
              <w:rPr>
                <w:rFonts w:ascii="Palatino Linotype" w:hAnsi="Palatino Linotype" w:cs="Calibri Light"/>
                <w:sz w:val="20"/>
                <w:lang w:val="en-ID" w:eastAsia="en-ID"/>
              </w:rPr>
              <w:t>)</w:t>
            </w:r>
          </w:p>
        </w:tc>
        <w:tc>
          <w:tcPr>
            <w:tcW w:w="0" w:type="auto"/>
            <w:hideMark/>
          </w:tcPr>
          <w:p w14:paraId="2AA7F308" w14:textId="77777777" w:rsidR="00B66C79" w:rsidRPr="00B66C79" w:rsidRDefault="00B66C79" w:rsidP="00B66C79">
            <w:pPr>
              <w:spacing w:line="216" w:lineRule="auto"/>
              <w:jc w:val="both"/>
              <w:rPr>
                <w:rFonts w:ascii="Palatino Linotype" w:hAnsi="Palatino Linotype" w:cs="Calibri Light"/>
                <w:sz w:val="20"/>
                <w:lang w:val="en-ID" w:eastAsia="en-ID"/>
              </w:rPr>
            </w:pPr>
            <w:r w:rsidRPr="00B66C79">
              <w:rPr>
                <w:rFonts w:ascii="Palatino Linotype" w:hAnsi="Palatino Linotype" w:cs="Calibri Light"/>
                <w:sz w:val="20"/>
                <w:lang w:val="en-ID" w:eastAsia="en-ID"/>
              </w:rPr>
              <w:t>Emphasizes trustworthy, ethical, and responsible management of Islamic assets as a religious obligation.</w:t>
            </w:r>
          </w:p>
        </w:tc>
        <w:tc>
          <w:tcPr>
            <w:tcW w:w="0" w:type="auto"/>
            <w:hideMark/>
          </w:tcPr>
          <w:p w14:paraId="0823376D" w14:textId="77777777" w:rsidR="00B66C79" w:rsidRPr="00B66C79" w:rsidRDefault="00B66C79" w:rsidP="00B66C79">
            <w:pPr>
              <w:spacing w:line="216" w:lineRule="auto"/>
              <w:jc w:val="both"/>
              <w:rPr>
                <w:rFonts w:ascii="Palatino Linotype" w:hAnsi="Palatino Linotype" w:cs="Calibri Light"/>
                <w:sz w:val="20"/>
                <w:lang w:val="en-ID" w:eastAsia="en-ID"/>
              </w:rPr>
            </w:pPr>
            <w:r w:rsidRPr="00B66C79">
              <w:rPr>
                <w:rFonts w:ascii="Palatino Linotype" w:hAnsi="Palatino Linotype" w:cs="Calibri Light"/>
                <w:sz w:val="20"/>
                <w:lang w:val="en-ID" w:eastAsia="en-ID"/>
              </w:rPr>
              <w:t>Implemented through financial reporting, auditing mechanisms, and institutional supervision.</w:t>
            </w:r>
          </w:p>
        </w:tc>
        <w:tc>
          <w:tcPr>
            <w:tcW w:w="0" w:type="auto"/>
            <w:hideMark/>
          </w:tcPr>
          <w:p w14:paraId="4A1208F2" w14:textId="77777777" w:rsidR="00B66C79" w:rsidRPr="00B66C79" w:rsidRDefault="00B66C79" w:rsidP="00B66C79">
            <w:pPr>
              <w:spacing w:line="216" w:lineRule="auto"/>
              <w:jc w:val="both"/>
              <w:rPr>
                <w:rFonts w:ascii="Palatino Linotype" w:hAnsi="Palatino Linotype" w:cs="Calibri Light"/>
                <w:sz w:val="20"/>
                <w:lang w:val="en-ID" w:eastAsia="en-ID"/>
              </w:rPr>
            </w:pPr>
            <w:r w:rsidRPr="00B66C79">
              <w:rPr>
                <w:rFonts w:ascii="Palatino Linotype" w:hAnsi="Palatino Linotype" w:cs="Calibri Light"/>
                <w:sz w:val="20"/>
                <w:lang w:val="en-ID" w:eastAsia="en-ID"/>
              </w:rPr>
              <w:t>Enhances public confidence and institutional credibility.</w:t>
            </w:r>
          </w:p>
        </w:tc>
      </w:tr>
      <w:tr w:rsidR="00B66C79" w:rsidRPr="00B66C79" w14:paraId="0D08A825" w14:textId="77777777" w:rsidTr="00B66C79">
        <w:tc>
          <w:tcPr>
            <w:tcW w:w="0" w:type="auto"/>
            <w:hideMark/>
          </w:tcPr>
          <w:p w14:paraId="3409A9B0" w14:textId="77777777" w:rsidR="00B66C79" w:rsidRPr="00B66C79" w:rsidRDefault="00B66C79" w:rsidP="00B66C79">
            <w:pPr>
              <w:spacing w:line="216" w:lineRule="auto"/>
              <w:jc w:val="both"/>
              <w:rPr>
                <w:rFonts w:ascii="Palatino Linotype" w:hAnsi="Palatino Linotype" w:cs="Calibri Light"/>
                <w:sz w:val="20"/>
                <w:lang w:val="en-ID" w:eastAsia="en-ID"/>
              </w:rPr>
            </w:pPr>
            <w:r w:rsidRPr="00B66C79">
              <w:rPr>
                <w:rFonts w:ascii="Palatino Linotype" w:hAnsi="Palatino Linotype" w:cs="Calibri Light"/>
                <w:sz w:val="20"/>
                <w:lang w:val="en-ID" w:eastAsia="en-ID"/>
              </w:rPr>
              <w:t>Good Governance</w:t>
            </w:r>
          </w:p>
        </w:tc>
        <w:tc>
          <w:tcPr>
            <w:tcW w:w="0" w:type="auto"/>
            <w:hideMark/>
          </w:tcPr>
          <w:p w14:paraId="71BF8526" w14:textId="77777777" w:rsidR="00B66C79" w:rsidRPr="00B66C79" w:rsidRDefault="00B66C79" w:rsidP="00B66C79">
            <w:pPr>
              <w:spacing w:line="216" w:lineRule="auto"/>
              <w:jc w:val="both"/>
              <w:rPr>
                <w:rFonts w:ascii="Palatino Linotype" w:hAnsi="Palatino Linotype" w:cs="Calibri Light"/>
                <w:sz w:val="20"/>
                <w:lang w:val="en-ID" w:eastAsia="en-ID"/>
              </w:rPr>
            </w:pPr>
            <w:r w:rsidRPr="00B66C79">
              <w:rPr>
                <w:rFonts w:ascii="Palatino Linotype" w:hAnsi="Palatino Linotype" w:cs="Calibri Light"/>
                <w:sz w:val="20"/>
                <w:lang w:val="en-ID" w:eastAsia="en-ID"/>
              </w:rPr>
              <w:t xml:space="preserve">Encourages transparency, integrity, responsibility, participation, and </w:t>
            </w:r>
            <w:r w:rsidRPr="00B66C79">
              <w:rPr>
                <w:rFonts w:ascii="Palatino Linotype" w:hAnsi="Palatino Linotype" w:cs="Calibri Light"/>
                <w:sz w:val="20"/>
                <w:lang w:val="en-ID" w:eastAsia="en-ID"/>
              </w:rPr>
              <w:lastRenderedPageBreak/>
              <w:t>professionalism in Islamic financial management.</w:t>
            </w:r>
          </w:p>
        </w:tc>
        <w:tc>
          <w:tcPr>
            <w:tcW w:w="0" w:type="auto"/>
            <w:hideMark/>
          </w:tcPr>
          <w:p w14:paraId="5B63F631" w14:textId="77777777" w:rsidR="00B66C79" w:rsidRPr="00B66C79" w:rsidRDefault="00B66C79" w:rsidP="00B66C79">
            <w:pPr>
              <w:spacing w:line="216" w:lineRule="auto"/>
              <w:jc w:val="both"/>
              <w:rPr>
                <w:rFonts w:ascii="Palatino Linotype" w:hAnsi="Palatino Linotype" w:cs="Calibri Light"/>
                <w:sz w:val="20"/>
                <w:lang w:val="en-ID" w:eastAsia="en-ID"/>
              </w:rPr>
            </w:pPr>
            <w:r w:rsidRPr="00B66C79">
              <w:rPr>
                <w:rFonts w:ascii="Palatino Linotype" w:hAnsi="Palatino Linotype" w:cs="Calibri Light"/>
                <w:sz w:val="20"/>
                <w:lang w:val="en-ID" w:eastAsia="en-ID"/>
              </w:rPr>
              <w:lastRenderedPageBreak/>
              <w:t xml:space="preserve">Strengthened through administrative accountability, public oversight, and </w:t>
            </w:r>
            <w:r w:rsidRPr="00B66C79">
              <w:rPr>
                <w:rFonts w:ascii="Palatino Linotype" w:hAnsi="Palatino Linotype" w:cs="Calibri Light"/>
                <w:sz w:val="20"/>
                <w:lang w:val="en-ID" w:eastAsia="en-ID"/>
              </w:rPr>
              <w:lastRenderedPageBreak/>
              <w:t>regulatory compliance.</w:t>
            </w:r>
          </w:p>
        </w:tc>
        <w:tc>
          <w:tcPr>
            <w:tcW w:w="0" w:type="auto"/>
            <w:hideMark/>
          </w:tcPr>
          <w:p w14:paraId="24E8AB84" w14:textId="77777777" w:rsidR="00B66C79" w:rsidRPr="00B66C79" w:rsidRDefault="00B66C79" w:rsidP="00B66C79">
            <w:pPr>
              <w:spacing w:line="216" w:lineRule="auto"/>
              <w:jc w:val="both"/>
              <w:rPr>
                <w:rFonts w:ascii="Palatino Linotype" w:hAnsi="Palatino Linotype" w:cs="Calibri Light"/>
                <w:sz w:val="20"/>
                <w:lang w:val="en-ID" w:eastAsia="en-ID"/>
              </w:rPr>
            </w:pPr>
            <w:r w:rsidRPr="00B66C79">
              <w:rPr>
                <w:rFonts w:ascii="Palatino Linotype" w:hAnsi="Palatino Linotype" w:cs="Calibri Light"/>
                <w:sz w:val="20"/>
                <w:lang w:val="en-ID" w:eastAsia="en-ID"/>
              </w:rPr>
              <w:lastRenderedPageBreak/>
              <w:t xml:space="preserve">Improves institutional effectiveness, governance quality, </w:t>
            </w:r>
            <w:r w:rsidRPr="00B66C79">
              <w:rPr>
                <w:rFonts w:ascii="Palatino Linotype" w:hAnsi="Palatino Linotype" w:cs="Calibri Light"/>
                <w:sz w:val="20"/>
                <w:lang w:val="en-ID" w:eastAsia="en-ID"/>
              </w:rPr>
              <w:lastRenderedPageBreak/>
              <w:t>and long-term sustainability.</w:t>
            </w:r>
          </w:p>
        </w:tc>
      </w:tr>
    </w:tbl>
    <w:p w14:paraId="0174E916" w14:textId="77777777" w:rsidR="00804662" w:rsidRDefault="00804662" w:rsidP="0074288E">
      <w:pPr>
        <w:spacing w:line="216" w:lineRule="auto"/>
        <w:ind w:firstLine="720"/>
        <w:jc w:val="both"/>
        <w:rPr>
          <w:rFonts w:ascii="Palatino Linotype" w:hAnsi="Palatino Linotype" w:cs="Calibri Light"/>
          <w:sz w:val="24"/>
          <w:szCs w:val="24"/>
          <w:lang w:val="id-ID" w:eastAsia="en-ID"/>
        </w:rPr>
      </w:pPr>
    </w:p>
    <w:p w14:paraId="1F62AC93" w14:textId="77777777" w:rsidR="00B66C79" w:rsidRPr="00B66C79" w:rsidRDefault="00B66C79" w:rsidP="00B66C79">
      <w:pPr>
        <w:spacing w:line="216" w:lineRule="auto"/>
        <w:ind w:firstLine="720"/>
        <w:jc w:val="both"/>
        <w:rPr>
          <w:rFonts w:ascii="Palatino Linotype" w:hAnsi="Palatino Linotype" w:cs="Calibri Light"/>
          <w:sz w:val="24"/>
          <w:szCs w:val="24"/>
          <w:lang w:val="en-ID" w:eastAsia="en-ID"/>
        </w:rPr>
      </w:pPr>
      <w:r w:rsidRPr="00B66C79">
        <w:rPr>
          <w:rFonts w:ascii="Palatino Linotype" w:hAnsi="Palatino Linotype" w:cs="Calibri Light"/>
          <w:sz w:val="24"/>
          <w:szCs w:val="24"/>
          <w:lang w:val="en-ID" w:eastAsia="en-ID"/>
        </w:rPr>
        <w:t xml:space="preserve">Table 1 demonstrates a substantial convergence between Islamic economic law and Indonesian positive law regarding the normative principles governing Islamic social finance. Both legal systems emphasize justice, accountability, legal certainty, and public welfare as fundamental objectives of governance. Islamic legal principles provide the ethical and normative foundation for managing zakat, </w:t>
      </w:r>
      <w:proofErr w:type="spellStart"/>
      <w:r w:rsidRPr="00B66C79">
        <w:rPr>
          <w:rFonts w:ascii="Palatino Linotype" w:hAnsi="Palatino Linotype" w:cs="Calibri Light"/>
          <w:sz w:val="24"/>
          <w:szCs w:val="24"/>
          <w:lang w:val="en-ID" w:eastAsia="en-ID"/>
        </w:rPr>
        <w:t>infaq</w:t>
      </w:r>
      <w:proofErr w:type="spellEnd"/>
      <w:r w:rsidRPr="00B66C79">
        <w:rPr>
          <w:rFonts w:ascii="Palatino Linotype" w:hAnsi="Palatino Linotype" w:cs="Calibri Light"/>
          <w:sz w:val="24"/>
          <w:szCs w:val="24"/>
          <w:lang w:val="en-ID" w:eastAsia="en-ID"/>
        </w:rPr>
        <w:t>, and productive waqf, while statutory regulations operationalize these principles through institutional structures, supervisory mechanisms, and administrative procedures. This convergence indicates that Indonesia has successfully institutionalized the ethical values of Islamic law within its national legal system.</w:t>
      </w:r>
    </w:p>
    <w:p w14:paraId="278340B2" w14:textId="77777777" w:rsidR="00B66C79" w:rsidRPr="00B66C79" w:rsidRDefault="00B66C79" w:rsidP="00B66C79">
      <w:pPr>
        <w:spacing w:line="216" w:lineRule="auto"/>
        <w:ind w:firstLine="720"/>
        <w:jc w:val="both"/>
        <w:rPr>
          <w:rFonts w:ascii="Palatino Linotype" w:hAnsi="Palatino Linotype" w:cs="Calibri Light"/>
          <w:sz w:val="24"/>
          <w:szCs w:val="24"/>
          <w:lang w:val="en-ID" w:eastAsia="en-ID"/>
        </w:rPr>
      </w:pPr>
      <w:r w:rsidRPr="00B66C79">
        <w:rPr>
          <w:rFonts w:ascii="Palatino Linotype" w:hAnsi="Palatino Linotype" w:cs="Calibri Light"/>
          <w:sz w:val="24"/>
          <w:szCs w:val="24"/>
          <w:lang w:val="en-ID" w:eastAsia="en-ID"/>
        </w:rPr>
        <w:t>Nevertheless, the table also reveals that the incorporation of legal principles has been more comprehensive than their practical institutional integration. Although accountability, transparency, and legal certainty are explicitly regulated, existing legislation primarily focuses on institutional administration rather than collaborative governance capable of optimizing productive Islamic social finance. Consequently, governance remains legally sound at the normative level but requires stronger integration at the operational level to maximize socioeconomic outcomes. This finding suggests that strengthening legal principles alone is insufficient unless accompanied by institutional coordination, harmonized governance mechanisms, and integrated policy implementation.</w:t>
      </w:r>
    </w:p>
    <w:p w14:paraId="3E36A756" w14:textId="77777777" w:rsidR="007E4389" w:rsidRDefault="007E4389" w:rsidP="0074288E">
      <w:pPr>
        <w:spacing w:line="216" w:lineRule="auto"/>
        <w:ind w:firstLine="720"/>
        <w:jc w:val="both"/>
        <w:rPr>
          <w:rFonts w:ascii="Palatino Linotype" w:hAnsi="Palatino Linotype" w:cs="Calibri Light"/>
          <w:sz w:val="24"/>
          <w:szCs w:val="24"/>
          <w:lang w:val="id-ID" w:eastAsia="en-ID"/>
        </w:rPr>
      </w:pPr>
    </w:p>
    <w:p w14:paraId="3B974F52" w14:textId="3AEA0E8B" w:rsidR="007E4389" w:rsidRPr="007E4389" w:rsidRDefault="00B66C79" w:rsidP="0074288E">
      <w:pPr>
        <w:spacing w:line="216" w:lineRule="auto"/>
        <w:jc w:val="both"/>
        <w:rPr>
          <w:rFonts w:ascii="Palatino Linotype" w:hAnsi="Palatino Linotype" w:cs="Calibri Light"/>
          <w:b/>
          <w:bCs/>
          <w:sz w:val="24"/>
          <w:szCs w:val="24"/>
          <w:lang w:val="id-ID" w:eastAsia="en-ID"/>
        </w:rPr>
      </w:pPr>
      <w:r w:rsidRPr="00B66C79">
        <w:rPr>
          <w:rFonts w:ascii="Palatino Linotype" w:hAnsi="Palatino Linotype" w:cs="Calibri Light"/>
          <w:b/>
          <w:bCs/>
          <w:sz w:val="24"/>
          <w:szCs w:val="24"/>
          <w:lang w:eastAsia="en-ID"/>
        </w:rPr>
        <w:t xml:space="preserve">Legal Effectiveness of the Regulatory Framework Governing Zakat, </w:t>
      </w:r>
      <w:proofErr w:type="spellStart"/>
      <w:r w:rsidRPr="00B66C79">
        <w:rPr>
          <w:rFonts w:ascii="Palatino Linotype" w:hAnsi="Palatino Linotype" w:cs="Calibri Light"/>
          <w:b/>
          <w:bCs/>
          <w:sz w:val="24"/>
          <w:szCs w:val="24"/>
          <w:lang w:eastAsia="en-ID"/>
        </w:rPr>
        <w:t>Infaq</w:t>
      </w:r>
      <w:proofErr w:type="spellEnd"/>
      <w:r w:rsidRPr="00B66C79">
        <w:rPr>
          <w:rFonts w:ascii="Palatino Linotype" w:hAnsi="Palatino Linotype" w:cs="Calibri Light"/>
          <w:b/>
          <w:bCs/>
          <w:sz w:val="24"/>
          <w:szCs w:val="24"/>
          <w:lang w:eastAsia="en-ID"/>
        </w:rPr>
        <w:t>, and Productive Waqf</w:t>
      </w:r>
      <w:r>
        <w:rPr>
          <w:rFonts w:ascii="Palatino Linotype" w:hAnsi="Palatino Linotype" w:cs="Calibri Light"/>
          <w:b/>
          <w:bCs/>
          <w:sz w:val="24"/>
          <w:szCs w:val="24"/>
          <w:lang w:eastAsia="en-ID"/>
        </w:rPr>
        <w:t xml:space="preserve"> </w:t>
      </w:r>
    </w:p>
    <w:p w14:paraId="0439C58E" w14:textId="77777777" w:rsidR="00B66C79" w:rsidRPr="00B66C79" w:rsidRDefault="00B66C79" w:rsidP="00B66C79">
      <w:pPr>
        <w:spacing w:line="216" w:lineRule="auto"/>
        <w:ind w:firstLine="720"/>
        <w:jc w:val="both"/>
        <w:rPr>
          <w:rFonts w:ascii="Palatino Linotype" w:hAnsi="Palatino Linotype" w:cs="Calibri Light"/>
          <w:sz w:val="24"/>
          <w:szCs w:val="24"/>
          <w:lang w:val="en-ID" w:eastAsia="en-ID"/>
        </w:rPr>
      </w:pPr>
      <w:r w:rsidRPr="00B66C79">
        <w:rPr>
          <w:rFonts w:ascii="Palatino Linotype" w:hAnsi="Palatino Linotype" w:cs="Calibri Light"/>
          <w:sz w:val="24"/>
          <w:szCs w:val="24"/>
          <w:lang w:val="en-ID" w:eastAsia="en-ID"/>
        </w:rPr>
        <w:t xml:space="preserve">The effectiveness of a legal framework is determined not only by the existence of statutory regulations but also by the extent to which those regulations are capable of achieving their intended legal and social objectives. In the governance of Islamic social finance, legal effectiveness refers to the ability of laws, implementing regulations, and Islamic legal instruments to establish accountable institutions, ensure legal certainty, promote productive asset utilization, and enhance public welfare. Indonesia has enacted a relatively comprehensive regulatory framework governing zakat, </w:t>
      </w:r>
      <w:proofErr w:type="spellStart"/>
      <w:r w:rsidRPr="00B66C79">
        <w:rPr>
          <w:rFonts w:ascii="Palatino Linotype" w:hAnsi="Palatino Linotype" w:cs="Calibri Light"/>
          <w:sz w:val="24"/>
          <w:szCs w:val="24"/>
          <w:lang w:val="en-ID" w:eastAsia="en-ID"/>
        </w:rPr>
        <w:t>infaq</w:t>
      </w:r>
      <w:proofErr w:type="spellEnd"/>
      <w:r w:rsidRPr="00B66C79">
        <w:rPr>
          <w:rFonts w:ascii="Palatino Linotype" w:hAnsi="Palatino Linotype" w:cs="Calibri Light"/>
          <w:sz w:val="24"/>
          <w:szCs w:val="24"/>
          <w:lang w:val="en-ID" w:eastAsia="en-ID"/>
        </w:rPr>
        <w:t>, and productive waqf through Law Number 23 of 2011 concerning Zakat Management, Law Number 41 of 2004 concerning Waqf, Government Regulation Number 42 of 2006, and supporting regulations issued by BAZNAS, the Indonesian Waqf Board (BWI), and the Ministry of Religious Affairs. Collectively, these legal instruments provide institutional authority, administrative procedures, supervisory mechanisms, and legal standards for managing Islamic social finance. Therefore, evaluating legal effectiveness requires examining not only regulatory completeness but also the consistency of implementation, institutional coordination, supervisory mechanisms, and governance outcomes.</w:t>
      </w:r>
    </w:p>
    <w:p w14:paraId="375C920F" w14:textId="77777777" w:rsidR="00B66C79" w:rsidRPr="00B66C79" w:rsidRDefault="00B66C79" w:rsidP="00B66C79">
      <w:pPr>
        <w:spacing w:line="216" w:lineRule="auto"/>
        <w:ind w:firstLine="720"/>
        <w:jc w:val="both"/>
        <w:rPr>
          <w:rFonts w:ascii="Palatino Linotype" w:hAnsi="Palatino Linotype" w:cs="Calibri Light"/>
          <w:sz w:val="24"/>
          <w:szCs w:val="24"/>
          <w:lang w:val="en-ID" w:eastAsia="en-ID"/>
        </w:rPr>
      </w:pPr>
      <w:r w:rsidRPr="00B66C79">
        <w:rPr>
          <w:rFonts w:ascii="Palatino Linotype" w:hAnsi="Palatino Linotype" w:cs="Calibri Light"/>
          <w:sz w:val="24"/>
          <w:szCs w:val="24"/>
          <w:lang w:val="en-ID" w:eastAsia="en-ID"/>
        </w:rPr>
        <w:t xml:space="preserve">The analysis reveals that Indonesian legislation has successfully established a clear legal foundation for institutional governance. Law Number 23 of 2011 defines the authority, responsibilities, and accountability of zakat </w:t>
      </w:r>
      <w:r w:rsidRPr="00B66C79">
        <w:rPr>
          <w:rFonts w:ascii="Palatino Linotype" w:hAnsi="Palatino Linotype" w:cs="Calibri Light"/>
          <w:sz w:val="24"/>
          <w:szCs w:val="24"/>
          <w:lang w:val="en-ID" w:eastAsia="en-ID"/>
        </w:rPr>
        <w:lastRenderedPageBreak/>
        <w:t xml:space="preserve">management institutions, while Law Number 41 of 2004 regulates waqf administration, asset protection, and the responsibilities of </w:t>
      </w:r>
      <w:proofErr w:type="spellStart"/>
      <w:r w:rsidRPr="00B66C79">
        <w:rPr>
          <w:rFonts w:ascii="Palatino Linotype" w:hAnsi="Palatino Linotype" w:cs="Calibri Light"/>
          <w:i/>
          <w:iCs/>
          <w:sz w:val="24"/>
          <w:szCs w:val="24"/>
          <w:lang w:val="en-ID" w:eastAsia="en-ID"/>
        </w:rPr>
        <w:t>nā</w:t>
      </w:r>
      <w:r w:rsidRPr="00B66C79">
        <w:rPr>
          <w:rFonts w:ascii="Cambria" w:hAnsi="Cambria" w:cs="Cambria"/>
          <w:i/>
          <w:iCs/>
          <w:sz w:val="24"/>
          <w:szCs w:val="24"/>
          <w:lang w:val="en-ID" w:eastAsia="en-ID"/>
        </w:rPr>
        <w:t>ẓ</w:t>
      </w:r>
      <w:r w:rsidRPr="00B66C79">
        <w:rPr>
          <w:rFonts w:ascii="Palatino Linotype" w:hAnsi="Palatino Linotype" w:cs="Calibri Light"/>
          <w:i/>
          <w:iCs/>
          <w:sz w:val="24"/>
          <w:szCs w:val="24"/>
          <w:lang w:val="en-ID" w:eastAsia="en-ID"/>
        </w:rPr>
        <w:t>ir</w:t>
      </w:r>
      <w:proofErr w:type="spellEnd"/>
      <w:r w:rsidRPr="00B66C79">
        <w:rPr>
          <w:rFonts w:ascii="Palatino Linotype" w:hAnsi="Palatino Linotype" w:cs="Calibri Light"/>
          <w:sz w:val="24"/>
          <w:szCs w:val="24"/>
          <w:lang w:val="en-ID" w:eastAsia="en-ID"/>
        </w:rPr>
        <w:t xml:space="preserve">. These regulations strengthen legal certainty by assigning institutional mandates and establishing governance procedures consistent with public administration principles. Furthermore, implementing regulations provide operational guidance concerning financial reporting, supervision, registration, and institutional accountability. From a normative perspective, these legal instruments demonstrate a high level of legal completeness because they regulate the principal components required for administering Islamic social finance. Consequently, the legal framework has succeeded in institutionalizing Islamic philanthropic governance within the Indonesian legal system while providing a stable basis for the management of zakat, </w:t>
      </w:r>
      <w:proofErr w:type="spellStart"/>
      <w:r w:rsidRPr="00B66C79">
        <w:rPr>
          <w:rFonts w:ascii="Palatino Linotype" w:hAnsi="Palatino Linotype" w:cs="Calibri Light"/>
          <w:sz w:val="24"/>
          <w:szCs w:val="24"/>
          <w:lang w:val="en-ID" w:eastAsia="en-ID"/>
        </w:rPr>
        <w:t>infaq</w:t>
      </w:r>
      <w:proofErr w:type="spellEnd"/>
      <w:r w:rsidRPr="00B66C79">
        <w:rPr>
          <w:rFonts w:ascii="Palatino Linotype" w:hAnsi="Palatino Linotype" w:cs="Calibri Light"/>
          <w:sz w:val="24"/>
          <w:szCs w:val="24"/>
          <w:lang w:val="en-ID" w:eastAsia="en-ID"/>
        </w:rPr>
        <w:t>, and productive waqf.</w:t>
      </w:r>
    </w:p>
    <w:p w14:paraId="755C0923" w14:textId="77777777" w:rsidR="00B66C79" w:rsidRPr="00B66C79" w:rsidRDefault="00B66C79" w:rsidP="00B66C79">
      <w:pPr>
        <w:spacing w:line="216" w:lineRule="auto"/>
        <w:ind w:firstLine="720"/>
        <w:jc w:val="both"/>
        <w:rPr>
          <w:rFonts w:ascii="Palatino Linotype" w:hAnsi="Palatino Linotype" w:cs="Calibri Light"/>
          <w:sz w:val="24"/>
          <w:szCs w:val="24"/>
          <w:lang w:val="en-ID" w:eastAsia="en-ID"/>
        </w:rPr>
      </w:pPr>
      <w:r w:rsidRPr="00B66C79">
        <w:rPr>
          <w:rFonts w:ascii="Palatino Linotype" w:hAnsi="Palatino Linotype" w:cs="Calibri Light"/>
          <w:sz w:val="24"/>
          <w:szCs w:val="24"/>
          <w:lang w:val="en-ID" w:eastAsia="en-ID"/>
        </w:rPr>
        <w:t>Despite the comprehensiveness of existing legislation, the study identifies several factors limiting its legal effectiveness. The primary challenge does not arise from regulatory insufficiency but from fragmented implementation across institutions responsible for Islamic social finance governance. Existing legal provisions regulate zakat and waqf through separate institutional structures, resulting in limited coordination between BAZNAS, BWI, the Ministry of Religious Affairs, and other related agencies. In addition, supervisory mechanisms are predominantly institution-specific, reducing opportunities for integrated governance and coordinated productive investment. The absence of interoperable governance systems, standardized accountability mechanisms, and comprehensive regulatory synchronization weakens policy implementation despite the availability of adequate legal instruments. Accordingly, legal effectiveness depends not solely on legislative quality but also on institutional capacity, policy coherence, administrative coordination, and consistent implementation across multiple governance actors.</w:t>
      </w:r>
    </w:p>
    <w:p w14:paraId="66D76CB0" w14:textId="77777777" w:rsidR="00B66C79" w:rsidRPr="00B66C79" w:rsidRDefault="00B66C79" w:rsidP="00B66C79">
      <w:pPr>
        <w:spacing w:line="216" w:lineRule="auto"/>
        <w:ind w:firstLine="720"/>
        <w:jc w:val="both"/>
        <w:rPr>
          <w:rFonts w:ascii="Palatino Linotype" w:hAnsi="Palatino Linotype" w:cs="Calibri Light"/>
          <w:sz w:val="24"/>
          <w:szCs w:val="24"/>
          <w:lang w:val="en-ID" w:eastAsia="en-ID"/>
        </w:rPr>
      </w:pPr>
      <w:r w:rsidRPr="00B66C79">
        <w:rPr>
          <w:rFonts w:ascii="Palatino Linotype" w:hAnsi="Palatino Linotype" w:cs="Calibri Light"/>
          <w:sz w:val="24"/>
          <w:szCs w:val="24"/>
          <w:lang w:val="en-ID" w:eastAsia="en-ID"/>
        </w:rPr>
        <w:t xml:space="preserve">Another important finding concerns the legal position of DSN-MUI fatwas within the governance framework of Islamic social finance. Fatwas play an essential role in ensuring Sharia compliance by providing normative guidance regarding the management and utilization of zakat, </w:t>
      </w:r>
      <w:proofErr w:type="spellStart"/>
      <w:r w:rsidRPr="00B66C79">
        <w:rPr>
          <w:rFonts w:ascii="Palatino Linotype" w:hAnsi="Palatino Linotype" w:cs="Calibri Light"/>
          <w:sz w:val="24"/>
          <w:szCs w:val="24"/>
          <w:lang w:val="en-ID" w:eastAsia="en-ID"/>
        </w:rPr>
        <w:t>infaq</w:t>
      </w:r>
      <w:proofErr w:type="spellEnd"/>
      <w:r w:rsidRPr="00B66C79">
        <w:rPr>
          <w:rFonts w:ascii="Palatino Linotype" w:hAnsi="Palatino Linotype" w:cs="Calibri Light"/>
          <w:sz w:val="24"/>
          <w:szCs w:val="24"/>
          <w:lang w:val="en-ID" w:eastAsia="en-ID"/>
        </w:rPr>
        <w:t>, and productive waqf. However, unlike statutory regulations, fatwas do not possess the same binding legal authority within the hierarchy of Indonesian legislation. As a result, differences may arise between religious guidance and administrative implementation, particularly where statutory regulations provide limited technical direction concerning productive asset management or innovative Islamic financial instruments. This legal characteristic does not diminish the significance of fatwas but highlights the necessity for stronger regulatory integration between Islamic legal opinions and positive law. Such integration would improve legal certainty, reduce interpretative inconsistencies, and strengthen institutional compliance with both national legislation and Islamic legal principles.</w:t>
      </w:r>
    </w:p>
    <w:p w14:paraId="50967A6E" w14:textId="77777777" w:rsidR="00B66C79" w:rsidRDefault="00B66C79" w:rsidP="00E53C42">
      <w:pPr>
        <w:spacing w:line="216" w:lineRule="auto"/>
        <w:ind w:firstLine="720"/>
        <w:jc w:val="both"/>
        <w:rPr>
          <w:rFonts w:ascii="Palatino Linotype" w:hAnsi="Palatino Linotype" w:cs="Calibri Light"/>
          <w:sz w:val="24"/>
          <w:szCs w:val="24"/>
          <w:lang w:val="en-ID" w:eastAsia="en-ID"/>
        </w:rPr>
      </w:pPr>
    </w:p>
    <w:p w14:paraId="7E12E17F" w14:textId="37F540C1" w:rsidR="00E53C42" w:rsidRDefault="00B66C79" w:rsidP="00E53C42">
      <w:pPr>
        <w:spacing w:line="216" w:lineRule="auto"/>
        <w:ind w:firstLine="720"/>
        <w:jc w:val="both"/>
        <w:rPr>
          <w:rFonts w:ascii="Palatino Linotype" w:hAnsi="Palatino Linotype" w:cs="Calibri Light"/>
          <w:b/>
          <w:bCs/>
          <w:sz w:val="20"/>
          <w:lang w:eastAsia="en-ID"/>
        </w:rPr>
      </w:pPr>
      <w:r w:rsidRPr="00B66C79">
        <w:rPr>
          <w:rFonts w:ascii="Palatino Linotype" w:hAnsi="Palatino Linotype" w:cs="Calibri Light"/>
          <w:b/>
          <w:bCs/>
          <w:sz w:val="20"/>
          <w:lang w:eastAsia="en-ID"/>
        </w:rPr>
        <w:t>Table 2. Assessment of the Legal Effectiveness of the Regulatory Framework Governing Islamic Social Finance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22"/>
        <w:gridCol w:w="2115"/>
        <w:gridCol w:w="2507"/>
        <w:gridCol w:w="2261"/>
      </w:tblGrid>
      <w:tr w:rsidR="004A3649" w:rsidRPr="004A3649" w14:paraId="17D3A73F" w14:textId="77777777" w:rsidTr="004A3649">
        <w:tc>
          <w:tcPr>
            <w:tcW w:w="0" w:type="auto"/>
            <w:hideMark/>
          </w:tcPr>
          <w:p w14:paraId="5B4499D3" w14:textId="77777777" w:rsidR="004A3649" w:rsidRPr="004A3649" w:rsidRDefault="004A3649" w:rsidP="004A3649">
            <w:pPr>
              <w:spacing w:line="216" w:lineRule="auto"/>
              <w:jc w:val="both"/>
              <w:rPr>
                <w:rFonts w:ascii="Palatino Linotype" w:hAnsi="Palatino Linotype" w:cs="Calibri Light"/>
                <w:b/>
                <w:bCs/>
                <w:sz w:val="20"/>
                <w:lang w:val="en-ID" w:eastAsia="en-ID"/>
              </w:rPr>
            </w:pPr>
            <w:r w:rsidRPr="004A3649">
              <w:rPr>
                <w:rFonts w:ascii="Palatino Linotype" w:hAnsi="Palatino Linotype" w:cs="Calibri Light"/>
                <w:b/>
                <w:bCs/>
                <w:sz w:val="20"/>
                <w:lang w:val="en-ID" w:eastAsia="en-ID"/>
              </w:rPr>
              <w:t>Regulatory Component</w:t>
            </w:r>
          </w:p>
        </w:tc>
        <w:tc>
          <w:tcPr>
            <w:tcW w:w="0" w:type="auto"/>
            <w:hideMark/>
          </w:tcPr>
          <w:p w14:paraId="71CE1090" w14:textId="77777777" w:rsidR="004A3649" w:rsidRPr="004A3649" w:rsidRDefault="004A3649" w:rsidP="004A3649">
            <w:pPr>
              <w:spacing w:line="216" w:lineRule="auto"/>
              <w:jc w:val="both"/>
              <w:rPr>
                <w:rFonts w:ascii="Palatino Linotype" w:hAnsi="Palatino Linotype" w:cs="Calibri Light"/>
                <w:b/>
                <w:bCs/>
                <w:sz w:val="20"/>
                <w:lang w:val="en-ID" w:eastAsia="en-ID"/>
              </w:rPr>
            </w:pPr>
            <w:r w:rsidRPr="004A3649">
              <w:rPr>
                <w:rFonts w:ascii="Palatino Linotype" w:hAnsi="Palatino Linotype" w:cs="Calibri Light"/>
                <w:b/>
                <w:bCs/>
                <w:sz w:val="20"/>
                <w:lang w:val="en-ID" w:eastAsia="en-ID"/>
              </w:rPr>
              <w:t>Existing Legal Framework</w:t>
            </w:r>
          </w:p>
        </w:tc>
        <w:tc>
          <w:tcPr>
            <w:tcW w:w="0" w:type="auto"/>
            <w:hideMark/>
          </w:tcPr>
          <w:p w14:paraId="095E4726" w14:textId="77777777" w:rsidR="004A3649" w:rsidRPr="004A3649" w:rsidRDefault="004A3649" w:rsidP="004A3649">
            <w:pPr>
              <w:spacing w:line="216" w:lineRule="auto"/>
              <w:jc w:val="both"/>
              <w:rPr>
                <w:rFonts w:ascii="Palatino Linotype" w:hAnsi="Palatino Linotype" w:cs="Calibri Light"/>
                <w:b/>
                <w:bCs/>
                <w:sz w:val="20"/>
                <w:lang w:val="en-ID" w:eastAsia="en-ID"/>
              </w:rPr>
            </w:pPr>
            <w:r w:rsidRPr="004A3649">
              <w:rPr>
                <w:rFonts w:ascii="Palatino Linotype" w:hAnsi="Palatino Linotype" w:cs="Calibri Light"/>
                <w:b/>
                <w:bCs/>
                <w:sz w:val="20"/>
                <w:lang w:val="en-ID" w:eastAsia="en-ID"/>
              </w:rPr>
              <w:t>Assessment of Legal Effectiveness</w:t>
            </w:r>
          </w:p>
        </w:tc>
        <w:tc>
          <w:tcPr>
            <w:tcW w:w="0" w:type="auto"/>
            <w:hideMark/>
          </w:tcPr>
          <w:p w14:paraId="00DC2066" w14:textId="77777777" w:rsidR="004A3649" w:rsidRPr="004A3649" w:rsidRDefault="004A3649" w:rsidP="004A3649">
            <w:pPr>
              <w:spacing w:line="216" w:lineRule="auto"/>
              <w:jc w:val="both"/>
              <w:rPr>
                <w:rFonts w:ascii="Palatino Linotype" w:hAnsi="Palatino Linotype" w:cs="Calibri Light"/>
                <w:b/>
                <w:bCs/>
                <w:sz w:val="20"/>
                <w:lang w:val="en-ID" w:eastAsia="en-ID"/>
              </w:rPr>
            </w:pPr>
            <w:r w:rsidRPr="004A3649">
              <w:rPr>
                <w:rFonts w:ascii="Palatino Linotype" w:hAnsi="Palatino Linotype" w:cs="Calibri Light"/>
                <w:b/>
                <w:bCs/>
                <w:sz w:val="20"/>
                <w:lang w:val="en-ID" w:eastAsia="en-ID"/>
              </w:rPr>
              <w:t>Main Challenge</w:t>
            </w:r>
          </w:p>
        </w:tc>
      </w:tr>
      <w:tr w:rsidR="004A3649" w:rsidRPr="004A3649" w14:paraId="6B0AA597" w14:textId="77777777" w:rsidTr="004A3649">
        <w:tc>
          <w:tcPr>
            <w:tcW w:w="0" w:type="auto"/>
            <w:hideMark/>
          </w:tcPr>
          <w:p w14:paraId="2DC3EC96"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t xml:space="preserve">Legal </w:t>
            </w:r>
            <w:r w:rsidRPr="004A3649">
              <w:rPr>
                <w:rFonts w:ascii="Palatino Linotype" w:hAnsi="Palatino Linotype" w:cs="Calibri Light"/>
                <w:sz w:val="20"/>
                <w:lang w:val="en-ID" w:eastAsia="en-ID"/>
              </w:rPr>
              <w:lastRenderedPageBreak/>
              <w:t>Foundation</w:t>
            </w:r>
          </w:p>
        </w:tc>
        <w:tc>
          <w:tcPr>
            <w:tcW w:w="0" w:type="auto"/>
            <w:hideMark/>
          </w:tcPr>
          <w:p w14:paraId="50580D85"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lastRenderedPageBreak/>
              <w:t xml:space="preserve">Law No. 23 of 2011 </w:t>
            </w:r>
            <w:r w:rsidRPr="004A3649">
              <w:rPr>
                <w:rFonts w:ascii="Palatino Linotype" w:hAnsi="Palatino Linotype" w:cs="Calibri Light"/>
                <w:sz w:val="20"/>
                <w:lang w:val="en-ID" w:eastAsia="en-ID"/>
              </w:rPr>
              <w:lastRenderedPageBreak/>
              <w:t>on Zakat Management; Law No. 41 of 2004 on Waqf; Government Regulation No. 42 of 2006</w:t>
            </w:r>
          </w:p>
        </w:tc>
        <w:tc>
          <w:tcPr>
            <w:tcW w:w="0" w:type="auto"/>
            <w:hideMark/>
          </w:tcPr>
          <w:p w14:paraId="5D0B9366"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lastRenderedPageBreak/>
              <w:t xml:space="preserve">Highly effective in </w:t>
            </w:r>
            <w:r w:rsidRPr="004A3649">
              <w:rPr>
                <w:rFonts w:ascii="Palatino Linotype" w:hAnsi="Palatino Linotype" w:cs="Calibri Light"/>
                <w:sz w:val="20"/>
                <w:lang w:val="en-ID" w:eastAsia="en-ID"/>
              </w:rPr>
              <w:lastRenderedPageBreak/>
              <w:t>establishing legal authority and providing a comprehensive regulatory basis for Islamic social finance governance.</w:t>
            </w:r>
          </w:p>
        </w:tc>
        <w:tc>
          <w:tcPr>
            <w:tcW w:w="0" w:type="auto"/>
            <w:hideMark/>
          </w:tcPr>
          <w:p w14:paraId="20229DC1"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lastRenderedPageBreak/>
              <w:t xml:space="preserve">Sectoral regulations </w:t>
            </w:r>
            <w:r w:rsidRPr="004A3649">
              <w:rPr>
                <w:rFonts w:ascii="Palatino Linotype" w:hAnsi="Palatino Linotype" w:cs="Calibri Light"/>
                <w:sz w:val="20"/>
                <w:lang w:val="en-ID" w:eastAsia="en-ID"/>
              </w:rPr>
              <w:lastRenderedPageBreak/>
              <w:t>remain fragmented, limiting legal harmonization across Islamic social finance instruments.</w:t>
            </w:r>
          </w:p>
        </w:tc>
      </w:tr>
      <w:tr w:rsidR="004A3649" w:rsidRPr="004A3649" w14:paraId="6E4918F1" w14:textId="77777777" w:rsidTr="004A3649">
        <w:tc>
          <w:tcPr>
            <w:tcW w:w="0" w:type="auto"/>
            <w:hideMark/>
          </w:tcPr>
          <w:p w14:paraId="127F7FB4"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lastRenderedPageBreak/>
              <w:t>Institutional Governance</w:t>
            </w:r>
          </w:p>
        </w:tc>
        <w:tc>
          <w:tcPr>
            <w:tcW w:w="0" w:type="auto"/>
            <w:hideMark/>
          </w:tcPr>
          <w:p w14:paraId="4052DAF5"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t>BAZNAS, BWI, and the Ministry of Religious Affairs</w:t>
            </w:r>
          </w:p>
        </w:tc>
        <w:tc>
          <w:tcPr>
            <w:tcW w:w="0" w:type="auto"/>
            <w:hideMark/>
          </w:tcPr>
          <w:p w14:paraId="45A6B62E"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t>Moderately effective in facilitating institutional administration and governance.</w:t>
            </w:r>
          </w:p>
        </w:tc>
        <w:tc>
          <w:tcPr>
            <w:tcW w:w="0" w:type="auto"/>
            <w:hideMark/>
          </w:tcPr>
          <w:p w14:paraId="27A7E000"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t>Limited coordination and integration among responsible institutions reduce governance efficiency.</w:t>
            </w:r>
          </w:p>
        </w:tc>
      </w:tr>
      <w:tr w:rsidR="004A3649" w:rsidRPr="004A3649" w14:paraId="00B1F954" w14:textId="77777777" w:rsidTr="004A3649">
        <w:tc>
          <w:tcPr>
            <w:tcW w:w="0" w:type="auto"/>
            <w:hideMark/>
          </w:tcPr>
          <w:p w14:paraId="054ED78E"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t>Supervision</w:t>
            </w:r>
          </w:p>
        </w:tc>
        <w:tc>
          <w:tcPr>
            <w:tcW w:w="0" w:type="auto"/>
            <w:hideMark/>
          </w:tcPr>
          <w:p w14:paraId="3CB01BC2"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t>Internal supervision by managing institutions and external oversight by relevant authorities</w:t>
            </w:r>
          </w:p>
        </w:tc>
        <w:tc>
          <w:tcPr>
            <w:tcW w:w="0" w:type="auto"/>
            <w:hideMark/>
          </w:tcPr>
          <w:p w14:paraId="4B25ABA8"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t>Moderately effective in ensuring regulatory compliance and institutional accountability.</w:t>
            </w:r>
          </w:p>
        </w:tc>
        <w:tc>
          <w:tcPr>
            <w:tcW w:w="0" w:type="auto"/>
            <w:hideMark/>
          </w:tcPr>
          <w:p w14:paraId="7F371F20"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t>Supervisory mechanisms remain fragmented and lack an integrated monitoring framework.</w:t>
            </w:r>
          </w:p>
        </w:tc>
      </w:tr>
      <w:tr w:rsidR="004A3649" w:rsidRPr="004A3649" w14:paraId="6A9FA677" w14:textId="77777777" w:rsidTr="004A3649">
        <w:tc>
          <w:tcPr>
            <w:tcW w:w="0" w:type="auto"/>
            <w:hideMark/>
          </w:tcPr>
          <w:p w14:paraId="46B6B1CE"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t>Sharia Compliance</w:t>
            </w:r>
          </w:p>
        </w:tc>
        <w:tc>
          <w:tcPr>
            <w:tcW w:w="0" w:type="auto"/>
            <w:hideMark/>
          </w:tcPr>
          <w:p w14:paraId="69CFFEB5"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t>Fatwas issued by the National Sharia Council–Indonesian Ulema Council (DSN-MUI)</w:t>
            </w:r>
          </w:p>
        </w:tc>
        <w:tc>
          <w:tcPr>
            <w:tcW w:w="0" w:type="auto"/>
            <w:hideMark/>
          </w:tcPr>
          <w:p w14:paraId="6B6B4702"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t>Effective as normative guidance for ensuring compliance with Islamic legal principles.</w:t>
            </w:r>
          </w:p>
        </w:tc>
        <w:tc>
          <w:tcPr>
            <w:tcW w:w="0" w:type="auto"/>
            <w:hideMark/>
          </w:tcPr>
          <w:p w14:paraId="0D900F17"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t>Fatwas generally lack binding legal force unless incorporated into statutory regulations.</w:t>
            </w:r>
          </w:p>
        </w:tc>
      </w:tr>
      <w:tr w:rsidR="004A3649" w:rsidRPr="004A3649" w14:paraId="35D82EE9" w14:textId="77777777" w:rsidTr="004A3649">
        <w:tc>
          <w:tcPr>
            <w:tcW w:w="0" w:type="auto"/>
            <w:hideMark/>
          </w:tcPr>
          <w:p w14:paraId="09C21D84"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t>Productive Asset Governance</w:t>
            </w:r>
          </w:p>
        </w:tc>
        <w:tc>
          <w:tcPr>
            <w:tcW w:w="0" w:type="auto"/>
            <w:hideMark/>
          </w:tcPr>
          <w:p w14:paraId="76F31536"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t>Legal provisions governing productive zakat and productive waqf utilization</w:t>
            </w:r>
          </w:p>
        </w:tc>
        <w:tc>
          <w:tcPr>
            <w:tcW w:w="0" w:type="auto"/>
            <w:hideMark/>
          </w:tcPr>
          <w:p w14:paraId="6681A4A9"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t>Partially effective in supporting socio-economic empowerment initiatives.</w:t>
            </w:r>
          </w:p>
        </w:tc>
        <w:tc>
          <w:tcPr>
            <w:tcW w:w="0" w:type="auto"/>
            <w:hideMark/>
          </w:tcPr>
          <w:p w14:paraId="1696E4E7"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t>Integrated implementation across zakat, waqf, and other Islamic social finance instruments remains limited.</w:t>
            </w:r>
          </w:p>
        </w:tc>
      </w:tr>
      <w:tr w:rsidR="004A3649" w:rsidRPr="004A3649" w14:paraId="6C4DF0C6" w14:textId="77777777" w:rsidTr="004A3649">
        <w:tc>
          <w:tcPr>
            <w:tcW w:w="0" w:type="auto"/>
            <w:hideMark/>
          </w:tcPr>
          <w:p w14:paraId="418C74F0"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t>Accountability</w:t>
            </w:r>
          </w:p>
        </w:tc>
        <w:tc>
          <w:tcPr>
            <w:tcW w:w="0" w:type="auto"/>
            <w:hideMark/>
          </w:tcPr>
          <w:p w14:paraId="446F024A"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t>Financial reporting requirements, public disclosure, and institutional accountability mechanisms</w:t>
            </w:r>
          </w:p>
        </w:tc>
        <w:tc>
          <w:tcPr>
            <w:tcW w:w="0" w:type="auto"/>
            <w:hideMark/>
          </w:tcPr>
          <w:p w14:paraId="71B7A852"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t>Administratively effective in promoting transparency and financial responsibility.</w:t>
            </w:r>
          </w:p>
        </w:tc>
        <w:tc>
          <w:tcPr>
            <w:tcW w:w="0" w:type="auto"/>
            <w:hideMark/>
          </w:tcPr>
          <w:p w14:paraId="2DC15105" w14:textId="77777777" w:rsidR="004A3649" w:rsidRPr="004A3649" w:rsidRDefault="004A3649" w:rsidP="004A3649">
            <w:pPr>
              <w:spacing w:line="216" w:lineRule="auto"/>
              <w:jc w:val="both"/>
              <w:rPr>
                <w:rFonts w:ascii="Palatino Linotype" w:hAnsi="Palatino Linotype" w:cs="Calibri Light"/>
                <w:sz w:val="20"/>
                <w:lang w:val="en-ID" w:eastAsia="en-ID"/>
              </w:rPr>
            </w:pPr>
            <w:r w:rsidRPr="004A3649">
              <w:rPr>
                <w:rFonts w:ascii="Palatino Linotype" w:hAnsi="Palatino Linotype" w:cs="Calibri Light"/>
                <w:sz w:val="20"/>
                <w:lang w:val="en-ID" w:eastAsia="en-ID"/>
              </w:rPr>
              <w:t>Absence of unified governance and reporting standards across Islamic social finance institutions.</w:t>
            </w:r>
          </w:p>
        </w:tc>
      </w:tr>
    </w:tbl>
    <w:p w14:paraId="1CB67F5C" w14:textId="77777777" w:rsidR="00E53C42" w:rsidRPr="00E53C42" w:rsidRDefault="00E53C42" w:rsidP="00E53C42">
      <w:pPr>
        <w:spacing w:line="216" w:lineRule="auto"/>
        <w:ind w:firstLine="720"/>
        <w:jc w:val="both"/>
        <w:rPr>
          <w:rFonts w:ascii="Palatino Linotype" w:hAnsi="Palatino Linotype" w:cs="Calibri Light"/>
          <w:b/>
          <w:bCs/>
          <w:sz w:val="20"/>
          <w:lang w:val="en-ID" w:eastAsia="en-ID"/>
        </w:rPr>
      </w:pPr>
    </w:p>
    <w:p w14:paraId="6993E6BD" w14:textId="5D1EB136" w:rsidR="00E53C42" w:rsidRPr="00E53C42" w:rsidRDefault="00B66C79" w:rsidP="00E53C42">
      <w:pPr>
        <w:spacing w:line="216" w:lineRule="auto"/>
        <w:ind w:firstLine="720"/>
        <w:jc w:val="both"/>
        <w:rPr>
          <w:rFonts w:ascii="Palatino Linotype" w:hAnsi="Palatino Linotype" w:cs="Calibri Light"/>
          <w:sz w:val="24"/>
          <w:szCs w:val="24"/>
          <w:lang w:val="en-ID" w:eastAsia="en-ID"/>
        </w:rPr>
      </w:pPr>
      <w:r w:rsidRPr="00B66C79">
        <w:rPr>
          <w:rFonts w:ascii="Palatino Linotype" w:hAnsi="Palatino Linotype" w:cs="Calibri Light"/>
          <w:sz w:val="24"/>
          <w:szCs w:val="24"/>
          <w:lang w:eastAsia="en-ID"/>
        </w:rPr>
        <w:t>Table 2 demonstrates that the Indonesian legal framework governing Islamic social finance is generally effective in establishing institutional legitimacy, regulatory certainty, and administrative accountability. Statutory regulations clearly define institutional authority and provide legal procedures governing the collection, management, supervision, and distribution of Islamic social finance. Likewise, DSN-MUI fatwas strengthen Sharia compliance by complementing statutory provisions with Islamic legal guidance. These findings indicate that Indonesia has developed a comprehensive normative framework capable of supporting professional governance and protecting public interests.</w:t>
      </w:r>
    </w:p>
    <w:p w14:paraId="4D74D4B0" w14:textId="77777777" w:rsidR="005C3261" w:rsidRPr="00A55CEB" w:rsidRDefault="005C3261" w:rsidP="0074288E">
      <w:pPr>
        <w:spacing w:line="228" w:lineRule="auto"/>
        <w:rPr>
          <w:rFonts w:ascii="Palatino Linotype" w:hAnsi="Palatino Linotype" w:cs="Calibri Light"/>
          <w:b/>
          <w:bCs/>
          <w:color w:val="000000"/>
          <w:sz w:val="24"/>
          <w:szCs w:val="24"/>
          <w:lang w:eastAsia="en-ID"/>
        </w:rPr>
      </w:pPr>
    </w:p>
    <w:p w14:paraId="307BEEC2" w14:textId="483966AD" w:rsidR="001E05C6" w:rsidRPr="00D310BC" w:rsidRDefault="001E05C6" w:rsidP="0074288E">
      <w:pPr>
        <w:spacing w:line="228" w:lineRule="auto"/>
        <w:jc w:val="both"/>
        <w:rPr>
          <w:rFonts w:ascii="Palatino Linotype" w:hAnsi="Palatino Linotype" w:cs="Calibri Light"/>
          <w:b/>
          <w:bCs/>
          <w:color w:val="BF4E14" w:themeColor="accent2" w:themeShade="BF"/>
          <w:sz w:val="24"/>
          <w:szCs w:val="24"/>
          <w:lang w:val="en-US" w:eastAsia="en-ID"/>
        </w:rPr>
      </w:pPr>
      <w:r w:rsidRPr="00D310BC">
        <w:rPr>
          <w:rFonts w:ascii="Palatino Linotype" w:hAnsi="Palatino Linotype" w:cs="Calibri Light"/>
          <w:b/>
          <w:bCs/>
          <w:color w:val="BF4E14" w:themeColor="accent2" w:themeShade="BF"/>
          <w:sz w:val="24"/>
          <w:szCs w:val="24"/>
          <w:lang w:val="en-US" w:eastAsia="en-ID"/>
        </w:rPr>
        <w:t>Discussion</w:t>
      </w:r>
    </w:p>
    <w:p w14:paraId="283C3F74" w14:textId="1D358B91" w:rsidR="004A3649" w:rsidRPr="004A3649" w:rsidRDefault="004A3649" w:rsidP="004A3649">
      <w:pPr>
        <w:spacing w:line="228" w:lineRule="auto"/>
        <w:ind w:firstLine="720"/>
        <w:jc w:val="both"/>
        <w:rPr>
          <w:rFonts w:ascii="Palatino Linotype" w:hAnsi="Palatino Linotype" w:cs="Calibri Light"/>
          <w:sz w:val="24"/>
          <w:szCs w:val="24"/>
          <w:lang w:val="en-ID" w:eastAsia="en-ID"/>
        </w:rPr>
      </w:pPr>
      <w:r w:rsidRPr="004A3649">
        <w:rPr>
          <w:rFonts w:ascii="Palatino Linotype" w:hAnsi="Palatino Linotype" w:cs="Calibri Light"/>
          <w:sz w:val="24"/>
          <w:szCs w:val="24"/>
          <w:lang w:val="en-ID" w:eastAsia="en-ID"/>
        </w:rPr>
        <w:t>The findings demonstrate that the legal effectiveness of Islamic social finance governance in Indonesia is fundamentally supported by a comprehensive regulatory framework consisting of Law No. 23 of 2011 on Zakat Management, Law No. 41 of 2004 on Waqf, Government Regulation No. 42 of 2006, and various implementing regulations</w:t>
      </w:r>
      <w:r w:rsidR="00663F62">
        <w:rPr>
          <w:rFonts w:ascii="Palatino Linotype" w:hAnsi="Palatino Linotype" w:cs="Calibri Light"/>
          <w:sz w:val="24"/>
          <w:szCs w:val="24"/>
          <w:lang w:val="en-ID" w:eastAsia="en-ID"/>
        </w:rPr>
        <w:t xml:space="preserve"> </w:t>
      </w:r>
      <w:r w:rsidR="00663F62">
        <w:rPr>
          <w:rFonts w:ascii="Palatino Linotype" w:hAnsi="Palatino Linotype" w:cs="Calibri Light"/>
          <w:sz w:val="24"/>
          <w:szCs w:val="24"/>
          <w:lang w:val="en-ID" w:eastAsia="en-ID"/>
        </w:rPr>
        <w:fldChar w:fldCharType="begin" w:fldLock="1"/>
      </w:r>
      <w:r w:rsidR="00663F62">
        <w:rPr>
          <w:rFonts w:ascii="Palatino Linotype" w:hAnsi="Palatino Linotype" w:cs="Calibri Light"/>
          <w:sz w:val="24"/>
          <w:szCs w:val="24"/>
          <w:lang w:val="en-ID" w:eastAsia="en-ID"/>
        </w:rPr>
        <w:instrText>ADDIN CSL_CITATION {"citationItems":[{"id":"ITEM-1","itemData":{"DOI":"10.32332/milrev.v4i1.10424","author":[{"dropping-particle":"","family":"Aripin","given":"Jaenal","non-dropping-particle":"","parse-names":false,"suffix":""}],"container-title":"MILRev: Metro Islamic Law Review","id":"ITEM-1","issued":{"date-parts":[["2025"]]},"title":"Hajj Fund Investment: A Comparative Contemporary Fiqh Study on Maslahah and Public Policy Perspectives in Indonesia","type":"article-journal"},"uris":["http://www.mendeley.com/documents/?uuid=fafa67fc-8e14-40bc-9272-92b24139ae88"]},{"id":"ITEM-2","itemData":{"DOI":"10.18860/j.v16i2.36809","author":[{"dropping-particle":"","family":"Hariyanto","given":"Erie","non-dropping-particle":"","parse-names":false,"suffix":""},{"dropping-particle":"","family":"Wardi","given":"Moch. Cholid","non-dropping-particle":"","parse-names":false,"suffix":""},{"dropping-particle":"","family":"Nawawi","given":"M","non-dropping-particle":"","parse-names":false,"suffix":""},{"dropping-particle":"","family":"Effendy","given":"M","non-dropping-particle":"","parse-names":false,"suffix":""},{"dropping-particle":"","family":"Hamzah","given":"M","non-dropping-particle":"","parse-names":false,"suffix":""},{"dropping-particle":"","family":"Nurhidayatuloh","given":"N","non-dropping-particle":"","parse-names":false,"suffix":""}],"container-title":"Jurisdictie: Jurnal Hukum dan Syariah","id":"ITEM-2","issued":{"date-parts":[["2025"]]},"title":"SOCIAL DELEGITIMATION OF RELIGIOUS OBLIGATION: Zakat, Infaq, and Shodaqoh Traditions among Transnational Madurese Migrant Workers of Indonesia-Malaysia","type":"article-journal"},"uris":["http://www.mendeley.com/documents/?uuid=2d3efd62-19e5-4538-9223-e9da81d3cb24"]}],"mendeley":{"formattedCitation":"(Aripin, 2025; Hariyanto et al., 2025)","plainTextFormattedCitation":"(Aripin, 2025; Hariyanto et al., 2025)","previouslyFormattedCitation":"(Aripin, 2025; Hariyanto et al., 2025)"},"properties":{"noteIndex":0},"schema":"https://github.com/citation-style-language/schema/raw/master/csl-citation.json"}</w:instrText>
      </w:r>
      <w:r w:rsidR="00663F62">
        <w:rPr>
          <w:rFonts w:ascii="Palatino Linotype" w:hAnsi="Palatino Linotype" w:cs="Calibri Light"/>
          <w:sz w:val="24"/>
          <w:szCs w:val="24"/>
          <w:lang w:val="en-ID" w:eastAsia="en-ID"/>
        </w:rPr>
        <w:fldChar w:fldCharType="separate"/>
      </w:r>
      <w:r w:rsidR="00663F62" w:rsidRPr="00663F62">
        <w:rPr>
          <w:rFonts w:ascii="Palatino Linotype" w:hAnsi="Palatino Linotype" w:cs="Calibri Light"/>
          <w:noProof/>
          <w:sz w:val="24"/>
          <w:szCs w:val="24"/>
          <w:lang w:val="en-ID" w:eastAsia="en-ID"/>
        </w:rPr>
        <w:t>(Aripin, 2025; Hariyanto et al., 2025)</w:t>
      </w:r>
      <w:r w:rsidR="00663F62">
        <w:rPr>
          <w:rFonts w:ascii="Palatino Linotype" w:hAnsi="Palatino Linotype" w:cs="Calibri Light"/>
          <w:sz w:val="24"/>
          <w:szCs w:val="24"/>
          <w:lang w:val="en-ID" w:eastAsia="en-ID"/>
        </w:rPr>
        <w:fldChar w:fldCharType="end"/>
      </w:r>
      <w:r w:rsidRPr="004A3649">
        <w:rPr>
          <w:rFonts w:ascii="Palatino Linotype" w:hAnsi="Palatino Linotype" w:cs="Calibri Light"/>
          <w:sz w:val="24"/>
          <w:szCs w:val="24"/>
          <w:lang w:val="en-ID" w:eastAsia="en-ID"/>
        </w:rPr>
        <w:t xml:space="preserve">. This legal architecture provides institutional legitimacy for organizations such as BAZNAS, BWI, and the Ministry of Religious Affairs while promoting </w:t>
      </w:r>
      <w:r w:rsidRPr="004A3649">
        <w:rPr>
          <w:rFonts w:ascii="Palatino Linotype" w:hAnsi="Palatino Linotype" w:cs="Calibri Light"/>
          <w:sz w:val="24"/>
          <w:szCs w:val="24"/>
          <w:lang w:val="en-ID" w:eastAsia="en-ID"/>
        </w:rPr>
        <w:lastRenderedPageBreak/>
        <w:t>accountability and legal certainty in the management of zakat and waqf</w:t>
      </w:r>
      <w:r w:rsidR="00663F62">
        <w:rPr>
          <w:rFonts w:ascii="Palatino Linotype" w:hAnsi="Palatino Linotype" w:cs="Calibri Light"/>
          <w:sz w:val="24"/>
          <w:szCs w:val="24"/>
          <w:lang w:val="en-ID" w:eastAsia="en-ID"/>
        </w:rPr>
        <w:t xml:space="preserve"> </w:t>
      </w:r>
      <w:r w:rsidR="00663F62">
        <w:rPr>
          <w:rFonts w:ascii="Palatino Linotype" w:hAnsi="Palatino Linotype" w:cs="Calibri Light"/>
          <w:sz w:val="24"/>
          <w:szCs w:val="24"/>
          <w:lang w:val="en-ID" w:eastAsia="en-ID"/>
        </w:rPr>
        <w:fldChar w:fldCharType="begin" w:fldLock="1"/>
      </w:r>
      <w:r w:rsidR="00663F62">
        <w:rPr>
          <w:rFonts w:ascii="Palatino Linotype" w:hAnsi="Palatino Linotype" w:cs="Calibri Light"/>
          <w:sz w:val="24"/>
          <w:szCs w:val="24"/>
          <w:lang w:val="en-ID" w:eastAsia="en-ID"/>
        </w:rPr>
        <w:instrText>ADDIN CSL_CITATION {"citationItems":[{"id":"ITEM-1","itemData":{"DOI":"10.31958/juris.v24i2.15863","author":[{"dropping-particle":"","family":"Marpi","given":"Yapiter","non-dropping-particle":"","parse-names":false,"suffix":""},{"dropping-particle":"","family":"Purwadi","given":"Hari","non-dropping-particle":"","parse-names":false,"suffix":""},{"dropping-particle":"","family":"Suwadi","given":"Pujiyono","non-dropping-particle":"","parse-names":false,"suffix":""},{"dropping-particle":"","family":"Elsyafei","given":"Hazeem Moutawally","non-dropping-particle":"","parse-names":false,"suffix":""}],"container-title":"JURIS (Jurnal Ilmiah Syariah)","id":"ITEM-1","issued":{"date-parts":[["2025"]]},"title":"From Classical Fiqh to Commercial Court: Reconciling Taflīs and Actio Pauliana in Indonesian Legal Practice","type":"article-journal"},"uris":["http://www.mendeley.com/documents/?uuid=03c6c177-a040-4eef-95a8-4f70b98441fa"]},{"id":"ITEM-2","itemData":{"DOI":"10.18326/ijtihad.v25i2.231-255","author":[{"dropping-particle":"","family":"Anggriani","given":"Reni","non-dropping-particle":"","parse-names":false,"suffix":""},{"dropping-particle":"","family":"Asuhaimi","given":"Farhanin Abdullah","non-dropping-particle":"","parse-names":false,"suffix":""},{"dropping-particle":"","family":"Wahyudi","given":"Jarot","non-dropping-particle":"","parse-names":false,"suffix":""},{"dropping-particle":"","family":"Fauziah","given":"Nafiza","non-dropping-particle":"","parse-names":false,"suffix":""},{"dropping-particle":"","family":"Asuhaimi","given":"Fadhilah Abdullah","non-dropping-particle":"","parse-names":false,"suffix":""}],"container-title":"Ijtihad : Jurnal Wacana Hukum Islam dan Kemanusiaan","id":"ITEM-2","issued":{"date-parts":[["2025"]]},"title":"Agreement of Waqf in Indonesia and Malaysia: Harmonisation with Quranic Principles and Modern Legal Frameworks","type":"article-journal"},"uris":["http://www.mendeley.com/documents/?uuid=fdf74588-47d9-410b-850f-95faff6b004f"]}],"mendeley":{"formattedCitation":"(Anggriani et al., 2025; Marpi et al., 2025)","plainTextFormattedCitation":"(Anggriani et al., 2025; Marpi et al., 2025)","previouslyFormattedCitation":"(Anggriani et al., 2025; Marpi et al., 2025)"},"properties":{"noteIndex":0},"schema":"https://github.com/citation-style-language/schema/raw/master/csl-citation.json"}</w:instrText>
      </w:r>
      <w:r w:rsidR="00663F62">
        <w:rPr>
          <w:rFonts w:ascii="Palatino Linotype" w:hAnsi="Palatino Linotype" w:cs="Calibri Light"/>
          <w:sz w:val="24"/>
          <w:szCs w:val="24"/>
          <w:lang w:val="en-ID" w:eastAsia="en-ID"/>
        </w:rPr>
        <w:fldChar w:fldCharType="separate"/>
      </w:r>
      <w:r w:rsidR="00663F62" w:rsidRPr="00663F62">
        <w:rPr>
          <w:rFonts w:ascii="Palatino Linotype" w:hAnsi="Palatino Linotype" w:cs="Calibri Light"/>
          <w:noProof/>
          <w:sz w:val="24"/>
          <w:szCs w:val="24"/>
          <w:lang w:val="en-ID" w:eastAsia="en-ID"/>
        </w:rPr>
        <w:t>(Anggriani et al., 2025; Marpi et al., 2025)</w:t>
      </w:r>
      <w:r w:rsidR="00663F62">
        <w:rPr>
          <w:rFonts w:ascii="Palatino Linotype" w:hAnsi="Palatino Linotype" w:cs="Calibri Light"/>
          <w:sz w:val="24"/>
          <w:szCs w:val="24"/>
          <w:lang w:val="en-ID" w:eastAsia="en-ID"/>
        </w:rPr>
        <w:fldChar w:fldCharType="end"/>
      </w:r>
      <w:r w:rsidRPr="004A3649">
        <w:rPr>
          <w:rFonts w:ascii="Palatino Linotype" w:hAnsi="Palatino Linotype" w:cs="Calibri Light"/>
          <w:sz w:val="24"/>
          <w:szCs w:val="24"/>
          <w:lang w:val="en-ID" w:eastAsia="en-ID"/>
        </w:rPr>
        <w:t>. These findings are consistent with previous studies arguing that Indonesia has established one of the most comprehensive legal frameworks for Islamic social finance among Muslim-majority countries, particularly in institutionalizing zakat and waqf governance through statutory legislation rather than relying solely on religious norms</w:t>
      </w:r>
      <w:r w:rsidR="00663F62">
        <w:rPr>
          <w:rFonts w:ascii="Palatino Linotype" w:hAnsi="Palatino Linotype" w:cs="Calibri Light"/>
          <w:sz w:val="24"/>
          <w:szCs w:val="24"/>
          <w:lang w:val="en-ID" w:eastAsia="en-ID"/>
        </w:rPr>
        <w:t xml:space="preserve"> </w:t>
      </w:r>
      <w:r w:rsidR="00663F62">
        <w:rPr>
          <w:rFonts w:ascii="Palatino Linotype" w:hAnsi="Palatino Linotype" w:cs="Calibri Light"/>
          <w:sz w:val="24"/>
          <w:szCs w:val="24"/>
          <w:lang w:val="en-ID" w:eastAsia="en-ID"/>
        </w:rPr>
        <w:fldChar w:fldCharType="begin" w:fldLock="1"/>
      </w:r>
      <w:r w:rsidR="00663F62">
        <w:rPr>
          <w:rFonts w:ascii="Palatino Linotype" w:hAnsi="Palatino Linotype" w:cs="Calibri Light"/>
          <w:sz w:val="24"/>
          <w:szCs w:val="24"/>
          <w:lang w:val="en-ID" w:eastAsia="en-ID"/>
        </w:rPr>
        <w:instrText>ADDIN CSL_CITATION {"citationItems":[{"id":"ITEM-1","itemData":{"DOI":"10.18860/j.v16i1.30447","author":[{"dropping-particle":"","family":"Ulum","given":"Kefi Miftachul","non-dropping-particle":"","parse-names":false,"suffix":""},{"dropping-particle":"","family":"Ariyanti","given":"Sari","non-dropping-particle":"","parse-names":false,"suffix":""},{"dropping-particle":"","family":"Witro","given":"Doli","non-dropping-particle":"","parse-names":false,"suffix":""},{"dropping-particle":"","family":"Nasyi’ah","given":"Iffaty","non-dropping-particle":"","parse-names":false,"suffix":""}],"container-title":"Jurisdictie: Jurnal Hukum dan Syariah","id":"ITEM-1","issued":{"date-parts":[["2025"]]},"title":"INTEGRATION OF ISLAMIC PHILANTHROPY WITH FINANCIAL TECHNOLOGY: The Case Study of Waqf towards Sustainable Funding in Indonesia","type":"article-journal"},"uris":["http://www.mendeley.com/documents/?uuid=a0768032-4007-4384-9c5b-843b84e90f72"]},{"id":"ITEM-2","itemData":{"DOI":"10.28918/jhi_v21i2_01","author":[{"dropping-particle":"","family":"Mufid","given":"Moh.","non-dropping-particle":"","parse-names":false,"suffix":""},{"dropping-particle":"","family":"Muhammad","given":"Adamu Abubakar","non-dropping-particle":"","parse-names":false,"suffix":""}],"container-title":"Jurnal Hukum Islam","id":"ITEM-2","issued":{"date-parts":[["2023"]]},"title":"Islamic Philanthropy and Public Policy: A Study of Zakat Fatwas from the New Order Era to the Post-Reform Era","type":"article-journal"},"uris":["http://www.mendeley.com/documents/?uuid=b9dcc6dc-332a-492a-aed0-e30369b9ca89"]}],"mendeley":{"formattedCitation":"(Mufid &amp; Muhammad, 2023; Ulum et al., 2025)","plainTextFormattedCitation":"(Mufid &amp; Muhammad, 2023; Ulum et al., 2025)","previouslyFormattedCitation":"(Mufid &amp; Muhammad, 2023; Ulum et al., 2025)"},"properties":{"noteIndex":0},"schema":"https://github.com/citation-style-language/schema/raw/master/csl-citation.json"}</w:instrText>
      </w:r>
      <w:r w:rsidR="00663F62">
        <w:rPr>
          <w:rFonts w:ascii="Palatino Linotype" w:hAnsi="Palatino Linotype" w:cs="Calibri Light"/>
          <w:sz w:val="24"/>
          <w:szCs w:val="24"/>
          <w:lang w:val="en-ID" w:eastAsia="en-ID"/>
        </w:rPr>
        <w:fldChar w:fldCharType="separate"/>
      </w:r>
      <w:r w:rsidR="00663F62" w:rsidRPr="00663F62">
        <w:rPr>
          <w:rFonts w:ascii="Palatino Linotype" w:hAnsi="Palatino Linotype" w:cs="Calibri Light"/>
          <w:noProof/>
          <w:sz w:val="24"/>
          <w:szCs w:val="24"/>
          <w:lang w:val="en-ID" w:eastAsia="en-ID"/>
        </w:rPr>
        <w:t>(Mufid &amp; Muhammad, 2023; Ulum et al., 2025)</w:t>
      </w:r>
      <w:r w:rsidR="00663F62">
        <w:rPr>
          <w:rFonts w:ascii="Palatino Linotype" w:hAnsi="Palatino Linotype" w:cs="Calibri Light"/>
          <w:sz w:val="24"/>
          <w:szCs w:val="24"/>
          <w:lang w:val="en-ID" w:eastAsia="en-ID"/>
        </w:rPr>
        <w:fldChar w:fldCharType="end"/>
      </w:r>
      <w:r w:rsidRPr="004A3649">
        <w:rPr>
          <w:rFonts w:ascii="Palatino Linotype" w:hAnsi="Palatino Linotype" w:cs="Calibri Light"/>
          <w:sz w:val="24"/>
          <w:szCs w:val="24"/>
          <w:lang w:val="en-ID" w:eastAsia="en-ID"/>
        </w:rPr>
        <w:t>. However, the present study extends existing scholarship by demonstrating that legal completeness does not necessarily translate into governance integration because regulatory fragmentation and sectoral administration continue to constrain coordinated implementation across Islamic social finance institutions</w:t>
      </w:r>
      <w:r w:rsidR="00663F62">
        <w:rPr>
          <w:rFonts w:ascii="Palatino Linotype" w:hAnsi="Palatino Linotype" w:cs="Calibri Light"/>
          <w:sz w:val="24"/>
          <w:szCs w:val="24"/>
          <w:lang w:val="en-ID" w:eastAsia="en-ID"/>
        </w:rPr>
        <w:t xml:space="preserve"> </w:t>
      </w:r>
      <w:r w:rsidR="00663F62">
        <w:rPr>
          <w:rFonts w:ascii="Palatino Linotype" w:hAnsi="Palatino Linotype" w:cs="Calibri Light"/>
          <w:sz w:val="24"/>
          <w:szCs w:val="24"/>
          <w:lang w:val="en-ID" w:eastAsia="en-ID"/>
        </w:rPr>
        <w:fldChar w:fldCharType="begin" w:fldLock="1"/>
      </w:r>
      <w:r w:rsidR="00663F62">
        <w:rPr>
          <w:rFonts w:ascii="Palatino Linotype" w:hAnsi="Palatino Linotype" w:cs="Calibri Light"/>
          <w:sz w:val="24"/>
          <w:szCs w:val="24"/>
          <w:lang w:val="en-ID" w:eastAsia="en-ID"/>
        </w:rPr>
        <w:instrText>ADDIN CSL_CITATION {"citationItems":[{"id":"ITEM-1","itemData":{"DOI":"10.32332/milrev.v4i1.10851","author":[{"dropping-particle":"","family":"Hasan","given":"","non-dropping-particle":"","parse-names":false,"suffix":""},{"dropping-particle":"","family":"Berlianty","given":"Teng","non-dropping-particle":"","parse-names":false,"suffix":""},{"dropping-particle":"","family":"Djoanda","given":"Merry","non-dropping-particle":"","parse-names":false,"suffix":""},{"dropping-particle":"","family":"Titahelu","given":"Juanrico","non-dropping-particle":"","parse-names":false,"suffix":""},{"dropping-particle":"","family":"Sahid","given":"Mualimin Mochammad","non-dropping-particle":"","parse-names":false,"suffix":""}],"container-title":"MILRev: Metro Islamic Law Review","id":"ITEM-1","issued":{"date-parts":[["2025"]]},"title":"Reassessing Islamic Banking Supervision in Indonesia: A Contemporary Islamic and Socio-Legal Perspective on OJK’s Integrated Model","type":"article-journal"},"uris":["http://www.mendeley.com/documents/?uuid=0b57e18e-7494-464e-9f23-54441434bb3a"]},{"id":"ITEM-2","itemData":{"DOI":"10.28918/jhi_v21i1_07","author":[{"dropping-particle":"","family":"Maryani","given":"","non-dropping-particle":"","parse-names":false,"suffix":""},{"dropping-particle":"","family":"Arifin","given":"Zainal","non-dropping-particle":"","parse-names":false,"suffix":""},{"dropping-particle":"","family":"Fathoni","given":"Kamal","non-dropping-particle":"","parse-names":false,"suffix":""},{"dropping-particle":"","family":"Triana","given":"Neni","non-dropping-particle":"","parse-names":false,"suffix":""},{"dropping-particle":"","family":"Sasnifa","given":"Pidayan","non-dropping-particle":"","parse-names":false,"suffix":""},{"dropping-particle":"Bin","family":"Ahmad","given":"Shofian","non-dropping-particle":"","parse-names":false,"suffix":""},{"dropping-particle":"","family":"Hidayati","given":"Rahmi","non-dropping-particle":"","parse-names":false,"suffix":""},{"dropping-particle":"","family":"Ramlah","given":"","non-dropping-particle":"","parse-names":false,"suffix":""}],"container-title":"Jurnal Hukum Islam","id":"ITEM-2","issued":{"date-parts":[["2023"]]},"title":"Islamic Philanthropy: Implementation of Regulations And Utilization of Waqf Proceeds in Jambi","type":"article-journal"},"uris":["http://www.mendeley.com/documents/?uuid=b0261282-7cdb-4a6a-a719-1acf88a1eaa2"]}],"mendeley":{"formattedCitation":"(Hasan et al., 2025; Maryani et al., 2023)","plainTextFormattedCitation":"(Hasan et al., 2025; Maryani et al., 2023)","previouslyFormattedCitation":"(Hasan et al., 2025; Maryani et al., 2023)"},"properties":{"noteIndex":0},"schema":"https://github.com/citation-style-language/schema/raw/master/csl-citation.json"}</w:instrText>
      </w:r>
      <w:r w:rsidR="00663F62">
        <w:rPr>
          <w:rFonts w:ascii="Palatino Linotype" w:hAnsi="Palatino Linotype" w:cs="Calibri Light"/>
          <w:sz w:val="24"/>
          <w:szCs w:val="24"/>
          <w:lang w:val="en-ID" w:eastAsia="en-ID"/>
        </w:rPr>
        <w:fldChar w:fldCharType="separate"/>
      </w:r>
      <w:r w:rsidR="00663F62" w:rsidRPr="00663F62">
        <w:rPr>
          <w:rFonts w:ascii="Palatino Linotype" w:hAnsi="Palatino Linotype" w:cs="Calibri Light"/>
          <w:noProof/>
          <w:sz w:val="24"/>
          <w:szCs w:val="24"/>
          <w:lang w:val="en-ID" w:eastAsia="en-ID"/>
        </w:rPr>
        <w:t>(Hasan et al., 2025; Maryani et al., 2023)</w:t>
      </w:r>
      <w:r w:rsidR="00663F62">
        <w:rPr>
          <w:rFonts w:ascii="Palatino Linotype" w:hAnsi="Palatino Linotype" w:cs="Calibri Light"/>
          <w:sz w:val="24"/>
          <w:szCs w:val="24"/>
          <w:lang w:val="en-ID" w:eastAsia="en-ID"/>
        </w:rPr>
        <w:fldChar w:fldCharType="end"/>
      </w:r>
      <w:r w:rsidRPr="004A3649">
        <w:rPr>
          <w:rFonts w:ascii="Palatino Linotype" w:hAnsi="Palatino Linotype" w:cs="Calibri Light"/>
          <w:sz w:val="24"/>
          <w:szCs w:val="24"/>
          <w:lang w:val="en-ID" w:eastAsia="en-ID"/>
        </w:rPr>
        <w:t>. This distinction contributes to the literature by emphasizing that legal effectiveness should be evaluated not only through the existence of legislation but also through the degree of institutional coherence achieved in practice.</w:t>
      </w:r>
    </w:p>
    <w:p w14:paraId="2A5B05E1" w14:textId="349530F9" w:rsidR="004A3649" w:rsidRPr="004A3649" w:rsidRDefault="004A3649" w:rsidP="004A3649">
      <w:pPr>
        <w:spacing w:line="228" w:lineRule="auto"/>
        <w:ind w:firstLine="720"/>
        <w:jc w:val="both"/>
        <w:rPr>
          <w:rFonts w:ascii="Palatino Linotype" w:hAnsi="Palatino Linotype" w:cs="Calibri Light"/>
          <w:sz w:val="24"/>
          <w:szCs w:val="24"/>
          <w:lang w:val="en-ID" w:eastAsia="en-ID"/>
        </w:rPr>
      </w:pPr>
      <w:r w:rsidRPr="004A3649">
        <w:rPr>
          <w:rFonts w:ascii="Palatino Linotype" w:hAnsi="Palatino Linotype" w:cs="Calibri Light"/>
          <w:sz w:val="24"/>
          <w:szCs w:val="24"/>
          <w:lang w:val="en-ID" w:eastAsia="en-ID"/>
        </w:rPr>
        <w:t>The study further reveals that institutional governance remains moderately effective despite the existence of legally recognized organizations responsible for managing Islamic social finance. While BAZNAS and BWI possess clearly defined statutory mandates, coordination between these institutions and other governmental agencies remains limited, resulting in overlapping responsibilities and fragmented policy implementation</w:t>
      </w:r>
      <w:r w:rsidR="00663F62">
        <w:rPr>
          <w:rFonts w:ascii="Palatino Linotype" w:hAnsi="Palatino Linotype" w:cs="Calibri Light"/>
          <w:sz w:val="24"/>
          <w:szCs w:val="24"/>
          <w:lang w:val="en-ID" w:eastAsia="en-ID"/>
        </w:rPr>
        <w:t xml:space="preserve"> </w:t>
      </w:r>
      <w:r w:rsidR="00663F62">
        <w:rPr>
          <w:rFonts w:ascii="Palatino Linotype" w:hAnsi="Palatino Linotype" w:cs="Calibri Light"/>
          <w:sz w:val="24"/>
          <w:szCs w:val="24"/>
          <w:lang w:val="en-ID" w:eastAsia="en-ID"/>
        </w:rPr>
        <w:fldChar w:fldCharType="begin" w:fldLock="1"/>
      </w:r>
      <w:r w:rsidR="00663F62">
        <w:rPr>
          <w:rFonts w:ascii="Palatino Linotype" w:hAnsi="Palatino Linotype" w:cs="Calibri Light"/>
          <w:sz w:val="24"/>
          <w:szCs w:val="24"/>
          <w:lang w:val="en-ID" w:eastAsia="en-ID"/>
        </w:rPr>
        <w:instrText>ADDIN CSL_CITATION {"citationItems":[{"id":"ITEM-1","itemData":{"DOI":"10.28918/jhi.v23i2.06","author":[{"dropping-particle":"","family":"Fadhilah","given":"Nur","non-dropping-particle":"","parse-names":false,"suffix":""},{"dropping-particle":"","family":"Bariroh","given":"Muflihatul","non-dropping-particle":"","parse-names":false,"suffix":""},{"dropping-particle":"","family":"Hidayah","given":"Nur","non-dropping-particle":"","parse-names":false,"suffix":""},{"dropping-particle":"","family":"Ashfiya","given":"Hamadah","non-dropping-particle":"","parse-names":false,"suffix":""}],"container-title":"Jurnal Hukum Islam","id":"ITEM-1","issued":{"date-parts":[["2025"]]},"title":"Legal Reform of Zakat Governance Based on Maqa</w:instrText>
      </w:r>
      <w:r w:rsidR="00663F62">
        <w:rPr>
          <w:rFonts w:ascii="Cambria" w:hAnsi="Cambria" w:cs="Cambria"/>
          <w:sz w:val="24"/>
          <w:szCs w:val="24"/>
          <w:lang w:val="en-ID" w:eastAsia="en-ID"/>
        </w:rPr>
        <w:instrText>ṣ</w:instrText>
      </w:r>
      <w:r w:rsidR="00663F62">
        <w:rPr>
          <w:rFonts w:ascii="Palatino Linotype" w:hAnsi="Palatino Linotype" w:cs="Calibri Light"/>
          <w:sz w:val="24"/>
          <w:szCs w:val="24"/>
          <w:lang w:val="en-ID" w:eastAsia="en-ID"/>
        </w:rPr>
        <w:instrText>id al-Ummah: Optimizing Digital Transformation Toward Social Justice","type":"article-journal"},"uris":["http://www.mendeley.com/documents/?uuid=18dae0f8-b7e5-4f34-a0e7-b4d06da58720"]},{"id":"ITEM-2","itemData":{"DOI":"10.31958/juris.v22i1.6562","author":[{"dropping-particle":"","family":"Rizal","given":"Rizal","non-dropping-particle":"","parse-names":false,"suffix":""},{"dropping-particle":"","family":"Ghofur","given":"R","non-dropping-particle":"","parse-names":false,"suffix":""},{"dropping-particle":"","family":"Utami","given":"Pertiwi","non-dropping-particle":"","parse-names":false,"suffix":""}],"container-title":"JURIS (Jurnal Ilmiah Syariah)","id":"ITEM-2","issued":{"date-parts":[["2023"]]},"title":"The Role of Muslim Generation Community at Zakat Collection on Realizing Sustainable Development Goals (SDGs) in the Era of Digital Society 5.0","type":"article-journal"},"uris":["http://www.mendeley.com/documents/?uuid=c8b8e0eb-cab3-44ae-ab7c-3f5e014c04ad"]}],"mendeley":{"formattedCitation":"(Fadhilah et al., 2025; Rizal et al., 2023)","plainTextFormattedCitation":"(Fadhilah et al., 2025; Rizal et al., 2023)","previouslyFormattedCitation":"(Fadhilah et al., 2025; Rizal et al., 2023)"},"properties":{"noteIndex":0},"schema":"https://github.com/citation-style-language/schema/raw/master/csl-citation.json"}</w:instrText>
      </w:r>
      <w:r w:rsidR="00663F62">
        <w:rPr>
          <w:rFonts w:ascii="Palatino Linotype" w:hAnsi="Palatino Linotype" w:cs="Calibri Light"/>
          <w:sz w:val="24"/>
          <w:szCs w:val="24"/>
          <w:lang w:val="en-ID" w:eastAsia="en-ID"/>
        </w:rPr>
        <w:fldChar w:fldCharType="separate"/>
      </w:r>
      <w:r w:rsidR="00663F62" w:rsidRPr="00663F62">
        <w:rPr>
          <w:rFonts w:ascii="Palatino Linotype" w:hAnsi="Palatino Linotype" w:cs="Calibri Light"/>
          <w:noProof/>
          <w:sz w:val="24"/>
          <w:szCs w:val="24"/>
          <w:lang w:val="en-ID" w:eastAsia="en-ID"/>
        </w:rPr>
        <w:t>(Fadhilah et al., 2025; Rizal et al., 2023)</w:t>
      </w:r>
      <w:r w:rsidR="00663F62">
        <w:rPr>
          <w:rFonts w:ascii="Palatino Linotype" w:hAnsi="Palatino Linotype" w:cs="Calibri Light"/>
          <w:sz w:val="24"/>
          <w:szCs w:val="24"/>
          <w:lang w:val="en-ID" w:eastAsia="en-ID"/>
        </w:rPr>
        <w:fldChar w:fldCharType="end"/>
      </w:r>
      <w:r w:rsidRPr="004A3649">
        <w:rPr>
          <w:rFonts w:ascii="Palatino Linotype" w:hAnsi="Palatino Linotype" w:cs="Calibri Light"/>
          <w:sz w:val="24"/>
          <w:szCs w:val="24"/>
          <w:lang w:val="en-ID" w:eastAsia="en-ID"/>
        </w:rPr>
        <w:t>. This finding supports earlier governance studies indicating that institutional capacity and interorganizational collaboration constitute essential determinants of successful public sector governance</w:t>
      </w:r>
      <w:r w:rsidR="00663F62">
        <w:rPr>
          <w:rFonts w:ascii="Palatino Linotype" w:hAnsi="Palatino Linotype" w:cs="Calibri Light"/>
          <w:sz w:val="24"/>
          <w:szCs w:val="24"/>
          <w:lang w:val="en-ID" w:eastAsia="en-ID"/>
        </w:rPr>
        <w:t xml:space="preserve"> </w:t>
      </w:r>
      <w:r w:rsidR="00663F62">
        <w:rPr>
          <w:rFonts w:ascii="Palatino Linotype" w:hAnsi="Palatino Linotype" w:cs="Calibri Light"/>
          <w:sz w:val="24"/>
          <w:szCs w:val="24"/>
          <w:lang w:val="en-ID" w:eastAsia="en-ID"/>
        </w:rPr>
        <w:fldChar w:fldCharType="begin" w:fldLock="1"/>
      </w:r>
      <w:r w:rsidR="00663F62">
        <w:rPr>
          <w:rFonts w:ascii="Palatino Linotype" w:hAnsi="Palatino Linotype" w:cs="Calibri Light"/>
          <w:sz w:val="24"/>
          <w:szCs w:val="24"/>
          <w:lang w:val="en-ID" w:eastAsia="en-ID"/>
        </w:rPr>
        <w:instrText>ADDIN CSL_CITATION {"citationItems":[{"id":"ITEM-1","itemData":{"DOI":"10.28918/jhi_v21i1_07","author":[{"dropping-particle":"","family":"Maryani","given":"","non-dropping-particle":"","parse-names":false,"suffix":""},{"dropping-particle":"","family":"Arifin","given":"Zainal","non-dropping-particle":"","parse-names":false,"suffix":""},{"dropping-particle":"","family":"Fathoni","given":"Kamal","non-dropping-particle":"","parse-names":false,"suffix":""},{"dropping-particle":"","family":"Triana","given":"Neni","non-dropping-particle":"","parse-names":false,"suffix":""},{"dropping-particle":"","family":"Sasnifa","given":"Pidayan","non-dropping-particle":"","parse-names":false,"suffix":""},{"dropping-particle":"Bin","family":"Ahmad","given":"Shofian","non-dropping-particle":"","parse-names":false,"suffix":""},{"dropping-particle":"","family":"Hidayati","given":"Rahmi","non-dropping-particle":"","parse-names":false,"suffix":""},{"dropping-particle":"","family":"Ramlah","given":"","non-dropping-particle":"","parse-names":false,"suffix":""}],"container-title":"Jurnal Hukum Islam","id":"ITEM-1","issued":{"date-parts":[["2023"]]},"title":"Islamic Philanthropy: Implementation of Regulations And Utilization of Waqf Proceeds in Jambi","type":"article-journal"},"uris":["http://www.mendeley.com/documents/?uuid=b0261282-7cdb-4a6a-a719-1acf88a1eaa2"]}],"mendeley":{"formattedCitation":"(Maryani et al., 2023)","plainTextFormattedCitation":"(Maryani et al., 2023)","previouslyFormattedCitation":"(Maryani et al., 2023)"},"properties":{"noteIndex":0},"schema":"https://github.com/citation-style-language/schema/raw/master/csl-citation.json"}</w:instrText>
      </w:r>
      <w:r w:rsidR="00663F62">
        <w:rPr>
          <w:rFonts w:ascii="Palatino Linotype" w:hAnsi="Palatino Linotype" w:cs="Calibri Light"/>
          <w:sz w:val="24"/>
          <w:szCs w:val="24"/>
          <w:lang w:val="en-ID" w:eastAsia="en-ID"/>
        </w:rPr>
        <w:fldChar w:fldCharType="separate"/>
      </w:r>
      <w:r w:rsidR="00663F62" w:rsidRPr="00663F62">
        <w:rPr>
          <w:rFonts w:ascii="Palatino Linotype" w:hAnsi="Palatino Linotype" w:cs="Calibri Light"/>
          <w:noProof/>
          <w:sz w:val="24"/>
          <w:szCs w:val="24"/>
          <w:lang w:val="en-ID" w:eastAsia="en-ID"/>
        </w:rPr>
        <w:t>(Maryani et al., 2023)</w:t>
      </w:r>
      <w:r w:rsidR="00663F62">
        <w:rPr>
          <w:rFonts w:ascii="Palatino Linotype" w:hAnsi="Palatino Linotype" w:cs="Calibri Light"/>
          <w:sz w:val="24"/>
          <w:szCs w:val="24"/>
          <w:lang w:val="en-ID" w:eastAsia="en-ID"/>
        </w:rPr>
        <w:fldChar w:fldCharType="end"/>
      </w:r>
      <w:r w:rsidRPr="004A3649">
        <w:rPr>
          <w:rFonts w:ascii="Palatino Linotype" w:hAnsi="Palatino Linotype" w:cs="Calibri Light"/>
          <w:sz w:val="24"/>
          <w:szCs w:val="24"/>
          <w:lang w:val="en-ID" w:eastAsia="en-ID"/>
        </w:rPr>
        <w:t>. Nevertheless, the present findings differ from research suggesting that institutional establishment alone is sufficient to improve governance performance. Instead, this study demonstrates that legal authority must be complemented by integrated governance mechanisms capable of facilitating information sharing, policy synchronization, and joint strategic planning. From a theoretical perspective, these findings reinforce institutional governance theory by illustrating that organizational legitimacy requires collaborative capacity rather than merely formal authority</w:t>
      </w:r>
      <w:r w:rsidR="00663F62">
        <w:rPr>
          <w:rFonts w:ascii="Palatino Linotype" w:hAnsi="Palatino Linotype" w:cs="Calibri Light"/>
          <w:sz w:val="24"/>
          <w:szCs w:val="24"/>
          <w:lang w:val="en-ID" w:eastAsia="en-ID"/>
        </w:rPr>
        <w:t xml:space="preserve"> </w:t>
      </w:r>
      <w:r w:rsidR="00663F62">
        <w:rPr>
          <w:rFonts w:ascii="Palatino Linotype" w:hAnsi="Palatino Linotype" w:cs="Calibri Light"/>
          <w:sz w:val="24"/>
          <w:szCs w:val="24"/>
          <w:lang w:val="en-ID" w:eastAsia="en-ID"/>
        </w:rPr>
        <w:fldChar w:fldCharType="begin" w:fldLock="1"/>
      </w:r>
      <w:r w:rsidR="00663F62">
        <w:rPr>
          <w:rFonts w:ascii="Palatino Linotype" w:hAnsi="Palatino Linotype" w:cs="Calibri Light"/>
          <w:sz w:val="24"/>
          <w:szCs w:val="24"/>
          <w:lang w:val="en-ID" w:eastAsia="en-ID"/>
        </w:rPr>
        <w:instrText>ADDIN CSL_CITATION {"citationItems":[{"id":"ITEM-1","itemData":{"DOI":"10.32332/milrev.v4i1.10851","author":[{"dropping-particle":"","family":"Hasan","given":"","non-dropping-particle":"","parse-names":false,"suffix":""},{"dropping-particle":"","family":"Berlianty","given":"Teng","non-dropping-particle":"","parse-names":false,"suffix":""},{"dropping-particle":"","family":"Djoanda","given":"Merry","non-dropping-particle":"","parse-names":false,"suffix":""},{"dropping-particle":"","family":"Titahelu","given":"Juanrico","non-dropping-particle":"","parse-names":false,"suffix":""},{"dropping-particle":"","family":"Sahid","given":"Mualimin Mochammad","non-dropping-particle":"","parse-names":false,"suffix":""}],"container-title":"MILRev: Metro Islamic Law Review","id":"ITEM-1","issued":{"date-parts":[["2025"]]},"title":"Reassessing Islamic Banking Supervision in Indonesia: A Contemporary Islamic and Socio-Legal Perspective on OJK’s Integrated Model","type":"article-journal"},"uris":["http://www.mendeley.com/documents/?uuid=0b57e18e-7494-464e-9f23-54441434bb3a"]}],"mendeley":{"formattedCitation":"(Hasan et al., 2025)","plainTextFormattedCitation":"(Hasan et al., 2025)","previouslyFormattedCitation":"(Hasan et al., 2025)"},"properties":{"noteIndex":0},"schema":"https://github.com/citation-style-language/schema/raw/master/csl-citation.json"}</w:instrText>
      </w:r>
      <w:r w:rsidR="00663F62">
        <w:rPr>
          <w:rFonts w:ascii="Palatino Linotype" w:hAnsi="Palatino Linotype" w:cs="Calibri Light"/>
          <w:sz w:val="24"/>
          <w:szCs w:val="24"/>
          <w:lang w:val="en-ID" w:eastAsia="en-ID"/>
        </w:rPr>
        <w:fldChar w:fldCharType="separate"/>
      </w:r>
      <w:r w:rsidR="00663F62" w:rsidRPr="00663F62">
        <w:rPr>
          <w:rFonts w:ascii="Palatino Linotype" w:hAnsi="Palatino Linotype" w:cs="Calibri Light"/>
          <w:noProof/>
          <w:sz w:val="24"/>
          <w:szCs w:val="24"/>
          <w:lang w:val="en-ID" w:eastAsia="en-ID"/>
        </w:rPr>
        <w:t>(Hasan et al., 2025)</w:t>
      </w:r>
      <w:r w:rsidR="00663F62">
        <w:rPr>
          <w:rFonts w:ascii="Palatino Linotype" w:hAnsi="Palatino Linotype" w:cs="Calibri Light"/>
          <w:sz w:val="24"/>
          <w:szCs w:val="24"/>
          <w:lang w:val="en-ID" w:eastAsia="en-ID"/>
        </w:rPr>
        <w:fldChar w:fldCharType="end"/>
      </w:r>
      <w:r w:rsidRPr="004A3649">
        <w:rPr>
          <w:rFonts w:ascii="Palatino Linotype" w:hAnsi="Palatino Linotype" w:cs="Calibri Light"/>
          <w:sz w:val="24"/>
          <w:szCs w:val="24"/>
          <w:lang w:val="en-ID" w:eastAsia="en-ID"/>
        </w:rPr>
        <w:t>. Practically, strengthening interinstitutional coordination through integrated regulatory frameworks and shared governance platforms could substantially improve the effectiveness of Islamic social finance administration.</w:t>
      </w:r>
    </w:p>
    <w:p w14:paraId="00FD602F" w14:textId="1831D652" w:rsidR="004A3649" w:rsidRPr="004A3649" w:rsidRDefault="004A3649" w:rsidP="004A3649">
      <w:pPr>
        <w:spacing w:line="228" w:lineRule="auto"/>
        <w:ind w:firstLine="720"/>
        <w:jc w:val="both"/>
        <w:rPr>
          <w:rFonts w:ascii="Palatino Linotype" w:hAnsi="Palatino Linotype" w:cs="Calibri Light"/>
          <w:sz w:val="24"/>
          <w:szCs w:val="24"/>
          <w:lang w:val="en-ID" w:eastAsia="en-ID"/>
        </w:rPr>
      </w:pPr>
      <w:r w:rsidRPr="004A3649">
        <w:rPr>
          <w:rFonts w:ascii="Palatino Linotype" w:hAnsi="Palatino Linotype" w:cs="Calibri Light"/>
          <w:sz w:val="24"/>
          <w:szCs w:val="24"/>
          <w:lang w:val="en-ID" w:eastAsia="en-ID"/>
        </w:rPr>
        <w:t>Another important finding concerns supervisory mechanisms and accountability systems. Although existing legal provisions require financial reporting, auditing, and institutional supervision, governance effectiveness remains constrained by fragmented monitoring structures and inconsistent accountability standards among Islamic social finance institutions</w:t>
      </w:r>
      <w:r w:rsidR="00663F62">
        <w:rPr>
          <w:rFonts w:ascii="Palatino Linotype" w:hAnsi="Palatino Linotype" w:cs="Calibri Light"/>
          <w:sz w:val="24"/>
          <w:szCs w:val="24"/>
          <w:lang w:val="en-ID" w:eastAsia="en-ID"/>
        </w:rPr>
        <w:t xml:space="preserve"> </w:t>
      </w:r>
      <w:r w:rsidR="00663F62">
        <w:rPr>
          <w:rFonts w:ascii="Palatino Linotype" w:hAnsi="Palatino Linotype" w:cs="Calibri Light"/>
          <w:sz w:val="24"/>
          <w:szCs w:val="24"/>
          <w:lang w:val="en-ID" w:eastAsia="en-ID"/>
        </w:rPr>
        <w:fldChar w:fldCharType="begin" w:fldLock="1"/>
      </w:r>
      <w:r w:rsidR="00663F62">
        <w:rPr>
          <w:rFonts w:ascii="Palatino Linotype" w:hAnsi="Palatino Linotype" w:cs="Calibri Light"/>
          <w:sz w:val="24"/>
          <w:szCs w:val="24"/>
          <w:lang w:val="en-ID" w:eastAsia="en-ID"/>
        </w:rPr>
        <w:instrText>ADDIN CSL_CITATION {"citationItems":[{"id":"ITEM-1","itemData":{"DOI":"10.28918/jhi_v21i1_07","author":[{"dropping-particle":"","family":"Maryani","given":"","non-dropping-particle":"","parse-names":false,"suffix":""},{"dropping-particle":"","family":"Arifin","given":"Zainal","non-dropping-particle":"","parse-names":false,"suffix":""},{"dropping-particle":"","family":"Fathoni","given":"Kamal","non-dropping-particle":"","parse-names":false,"suffix":""},{"dropping-particle":"","family":"Triana","given":"Neni","non-dropping-particle":"","parse-names":false,"suffix":""},{"dropping-particle":"","family":"Sasnifa","given":"Pidayan","non-dropping-particle":"","parse-names":false,"suffix":""},{"dropping-particle":"Bin","family":"Ahmad","given":"Shofian","non-dropping-particle":"","parse-names":false,"suffix":""},{"dropping-particle":"","family":"Hidayati","given":"Rahmi","non-dropping-particle":"","parse-names":false,"suffix":""},{"dropping-particle":"","family":"Ramlah","given":"","non-dropping-particle":"","parse-names":false,"suffix":""}],"container-title":"Jurnal Hukum Islam","id":"ITEM-1","issued":{"date-parts":[["2023"]]},"title":"Islamic Philanthropy: Implementation of Regulations And Utilization of Waqf Proceeds in Jambi","type":"article-journal"},"uris":["http://www.mendeley.com/documents/?uuid=b0261282-7cdb-4a6a-a719-1acf88a1eaa2"]},{"id":"ITEM-2","itemData":{"DOI":"10.28918/jhi.v23i2.06","author":[{"dropping-particle":"","family":"Fadhilah","given":"Nur","non-dropping-particle":"","parse-names":false,"suffix":""},{"dropping-particle":"","family":"Bariroh","given":"Muflihatul","non-dropping-particle":"","parse-names":false,"suffix":""},{"dropping-particle":"","family":"Hidayah","given":"Nur","non-dropping-particle":"","parse-names":false,"suffix":""},{"dropping-particle":"","family":"Ashfiya","given":"Hamadah","non-dropping-particle":"","parse-names":false,"suffix":""}],"container-title":"Jurnal Hukum Islam","id":"ITEM-2","issued":{"date-parts":[["2025"]]},"title":"Legal Reform of Zakat Governance Based on Maqa</w:instrText>
      </w:r>
      <w:r w:rsidR="00663F62">
        <w:rPr>
          <w:rFonts w:ascii="Cambria" w:hAnsi="Cambria" w:cs="Cambria"/>
          <w:sz w:val="24"/>
          <w:szCs w:val="24"/>
          <w:lang w:val="en-ID" w:eastAsia="en-ID"/>
        </w:rPr>
        <w:instrText>ṣ</w:instrText>
      </w:r>
      <w:r w:rsidR="00663F62">
        <w:rPr>
          <w:rFonts w:ascii="Palatino Linotype" w:hAnsi="Palatino Linotype" w:cs="Calibri Light"/>
          <w:sz w:val="24"/>
          <w:szCs w:val="24"/>
          <w:lang w:val="en-ID" w:eastAsia="en-ID"/>
        </w:rPr>
        <w:instrText>id al-Ummah: Optimizing Digital Transformation Toward Social Justice","type":"article-journal"},"uris":["http://www.mendeley.com/documents/?uuid=18dae0f8-b7e5-4f34-a0e7-b4d06da58720"]}],"mendeley":{"formattedCitation":"(Fadhilah et al., 2025; Maryani et al., 2023)","plainTextFormattedCitation":"(Fadhilah et al., 2025; Maryani et al., 2023)","previouslyFormattedCitation":"(Fadhilah et al., 2025; Maryani et al., 2023)"},"properties":{"noteIndex":0},"schema":"https://github.com/citation-style-language/schema/raw/master/csl-citation.json"}</w:instrText>
      </w:r>
      <w:r w:rsidR="00663F62">
        <w:rPr>
          <w:rFonts w:ascii="Palatino Linotype" w:hAnsi="Palatino Linotype" w:cs="Calibri Light"/>
          <w:sz w:val="24"/>
          <w:szCs w:val="24"/>
          <w:lang w:val="en-ID" w:eastAsia="en-ID"/>
        </w:rPr>
        <w:fldChar w:fldCharType="separate"/>
      </w:r>
      <w:r w:rsidR="00663F62" w:rsidRPr="00663F62">
        <w:rPr>
          <w:rFonts w:ascii="Palatino Linotype" w:hAnsi="Palatino Linotype" w:cs="Calibri Light"/>
          <w:noProof/>
          <w:sz w:val="24"/>
          <w:szCs w:val="24"/>
          <w:lang w:val="en-ID" w:eastAsia="en-ID"/>
        </w:rPr>
        <w:t>(Fadhilah et al., 2025; Maryani et al., 2023)</w:t>
      </w:r>
      <w:r w:rsidR="00663F62">
        <w:rPr>
          <w:rFonts w:ascii="Palatino Linotype" w:hAnsi="Palatino Linotype" w:cs="Calibri Light"/>
          <w:sz w:val="24"/>
          <w:szCs w:val="24"/>
          <w:lang w:val="en-ID" w:eastAsia="en-ID"/>
        </w:rPr>
        <w:fldChar w:fldCharType="end"/>
      </w:r>
      <w:r w:rsidRPr="004A3649">
        <w:rPr>
          <w:rFonts w:ascii="Palatino Linotype" w:hAnsi="Palatino Linotype" w:cs="Calibri Light"/>
          <w:sz w:val="24"/>
          <w:szCs w:val="24"/>
          <w:lang w:val="en-ID" w:eastAsia="en-ID"/>
        </w:rPr>
        <w:t>. These findings align with governance literature emphasizing that transparency and accountability represent fundamental pillars of good governance and public trust. Nevertheless, this study identifies an important divergence from earlier research that primarily focused on financial accountability without sufficiently considering institutional harmonization</w:t>
      </w:r>
      <w:r w:rsidR="00663F62">
        <w:rPr>
          <w:rFonts w:ascii="Palatino Linotype" w:hAnsi="Palatino Linotype" w:cs="Calibri Light"/>
          <w:sz w:val="24"/>
          <w:szCs w:val="24"/>
          <w:lang w:val="en-ID" w:eastAsia="en-ID"/>
        </w:rPr>
        <w:t xml:space="preserve"> </w:t>
      </w:r>
      <w:r w:rsidR="00663F62">
        <w:rPr>
          <w:rFonts w:ascii="Palatino Linotype" w:hAnsi="Palatino Linotype" w:cs="Calibri Light"/>
          <w:sz w:val="24"/>
          <w:szCs w:val="24"/>
          <w:lang w:val="en-ID" w:eastAsia="en-ID"/>
        </w:rPr>
        <w:lastRenderedPageBreak/>
        <w:fldChar w:fldCharType="begin" w:fldLock="1"/>
      </w:r>
      <w:r w:rsidR="00663F62">
        <w:rPr>
          <w:rFonts w:ascii="Palatino Linotype" w:hAnsi="Palatino Linotype" w:cs="Calibri Light"/>
          <w:sz w:val="24"/>
          <w:szCs w:val="24"/>
          <w:lang w:val="en-ID" w:eastAsia="en-ID"/>
        </w:rPr>
        <w:instrText>ADDIN CSL_CITATION {"citationItems":[{"id":"ITEM-1","itemData":{"DOI":"10.1080/14697688.2023.2224395","author":[{"dropping-particle":"","family":"Adzkiya’","given":"Ubbadul","non-dropping-particle":"","parse-names":false,"suffix":""},{"dropping-particle":"","family":"Fittria","given":"Anis","non-dropping-particle":"","parse-names":false,"suffix":""},{"dropping-particle":"","family":"Wathani","given":"Syamsul","non-dropping-particle":"","parse-names":false,"suffix":""}],"container-title":"Quantitative Finance","id":"ITEM-1","issued":{"date-parts":[["2023"]]},"page":"1561-1563","title":"Islamic Philanthropy: Exploring Zakat, Waqf, and Sadaqah in Islamic Finance and Economics","type":"article-journal","volume":"23"},"uris":["http://www.mendeley.com/documents/?uuid=93393210-2f05-4921-9a58-142f2f304ffc"]},{"id":"ITEM-2","itemData":{"DOI":"10.31958/juris.v22i1.6562","author":[{"dropping-particle":"","family":"Rizal","given":"Rizal","non-dropping-particle":"","parse-names":false,"suffix":""},{"dropping-particle":"","family":"Ghofur","given":"R","non-dropping-particle":"","parse-names":false,"suffix":""},{"dropping-particle":"","family":"Utami","given":"Pertiwi","non-dropping-particle":"","parse-names":false,"suffix":""}],"container-title":"JURIS (Jurnal Ilmiah Syariah)","id":"ITEM-2","issued":{"date-parts":[["2023"]]},"title":"The Role of Muslim Generation Community at Zakat Collection on Realizing Sustainable Development Goals (SDGs) in the Era of Digital Society 5.0","type":"article-journal"},"uris":["http://www.mendeley.com/documents/?uuid=c8b8e0eb-cab3-44ae-ab7c-3f5e014c04ad"]}],"mendeley":{"formattedCitation":"(Adzkiya’ et al., 2023; Rizal et al., 2023)","plainTextFormattedCitation":"(Adzkiya’ et al., 2023; Rizal et al., 2023)","previouslyFormattedCitation":"(Adzkiya’ et al., 2023; Rizal et al., 2023)"},"properties":{"noteIndex":0},"schema":"https://github.com/citation-style-language/schema/raw/master/csl-citation.json"}</w:instrText>
      </w:r>
      <w:r w:rsidR="00663F62">
        <w:rPr>
          <w:rFonts w:ascii="Palatino Linotype" w:hAnsi="Palatino Linotype" w:cs="Calibri Light"/>
          <w:sz w:val="24"/>
          <w:szCs w:val="24"/>
          <w:lang w:val="en-ID" w:eastAsia="en-ID"/>
        </w:rPr>
        <w:fldChar w:fldCharType="separate"/>
      </w:r>
      <w:r w:rsidR="00663F62" w:rsidRPr="00663F62">
        <w:rPr>
          <w:rFonts w:ascii="Palatino Linotype" w:hAnsi="Palatino Linotype" w:cs="Calibri Light"/>
          <w:noProof/>
          <w:sz w:val="24"/>
          <w:szCs w:val="24"/>
          <w:lang w:val="en-ID" w:eastAsia="en-ID"/>
        </w:rPr>
        <w:t>(Adzkiya’ et al., 2023; Rizal et al., 2023)</w:t>
      </w:r>
      <w:r w:rsidR="00663F62">
        <w:rPr>
          <w:rFonts w:ascii="Palatino Linotype" w:hAnsi="Palatino Linotype" w:cs="Calibri Light"/>
          <w:sz w:val="24"/>
          <w:szCs w:val="24"/>
          <w:lang w:val="en-ID" w:eastAsia="en-ID"/>
        </w:rPr>
        <w:fldChar w:fldCharType="end"/>
      </w:r>
      <w:r w:rsidRPr="004A3649">
        <w:rPr>
          <w:rFonts w:ascii="Palatino Linotype" w:hAnsi="Palatino Linotype" w:cs="Calibri Light"/>
          <w:sz w:val="24"/>
          <w:szCs w:val="24"/>
          <w:lang w:val="en-ID" w:eastAsia="en-ID"/>
        </w:rPr>
        <w:t>. The findings suggest that accountability should be understood as an integrated governance ecosystem combining financial reporting, performance evaluation, regulatory supervision, and stakeholder participation. This broader interpretation contributes theoretically to governance discourse by extending conventional accountability models into the context of Islamic social finance</w:t>
      </w:r>
      <w:r w:rsidR="00663F62">
        <w:rPr>
          <w:rFonts w:ascii="Palatino Linotype" w:hAnsi="Palatino Linotype" w:cs="Calibri Light"/>
          <w:sz w:val="24"/>
          <w:szCs w:val="24"/>
          <w:lang w:val="en-ID" w:eastAsia="en-ID"/>
        </w:rPr>
        <w:t xml:space="preserve"> </w:t>
      </w:r>
      <w:r w:rsidR="00663F62">
        <w:rPr>
          <w:rFonts w:ascii="Palatino Linotype" w:hAnsi="Palatino Linotype" w:cs="Calibri Light"/>
          <w:sz w:val="24"/>
          <w:szCs w:val="24"/>
          <w:lang w:val="en-ID" w:eastAsia="en-ID"/>
        </w:rPr>
        <w:fldChar w:fldCharType="begin" w:fldLock="1"/>
      </w:r>
      <w:r w:rsidR="00663F62">
        <w:rPr>
          <w:rFonts w:ascii="Palatino Linotype" w:hAnsi="Palatino Linotype" w:cs="Calibri Light"/>
          <w:sz w:val="24"/>
          <w:szCs w:val="24"/>
          <w:lang w:val="en-ID" w:eastAsia="en-ID"/>
        </w:rPr>
        <w:instrText>ADDIN CSL_CITATION {"citationItems":[{"id":"ITEM-1","itemData":{"DOI":"10.1177/21582440251397178","author":[{"dropping-particle":"","family":"Qurrata","given":"V","non-dropping-particle":"","parse-names":false,"suffix":""},{"dropping-particle":"","family":"Shafiai","given":"Muhammad Hakimi Mohd.","non-dropping-particle":"","parse-names":false,"suffix":""},{"dropping-particle":"","family":"Wahid","given":"H","non-dropping-particle":"","parse-names":false,"suffix":""},{"dropping-particle":"","family":"Almaamun","given":"Suhaili","non-dropping-particle":"","parse-names":false,"suffix":""},{"dropping-particle":"","family":"Ismail","given":"Abdul Ghafar","non-dropping-particle":"","parse-names":false,"suffix":""}],"container-title":"SAGE Open","id":"ITEM-1","issued":{"date-parts":[["2025"]]},"title":"Institutional Economics from Islamic Perspective: With Special Reference to Waqf","type":"article-journal","volume":"15"},"uris":["http://www.mendeley.com/documents/?uuid=cb086156-7d26-4575-966c-b139087b045d"]},{"id":"ITEM-2","itemData":{"DOI":"10.1016/j.heliyon.2023.e21612","author":[{"dropping-particle":"","family":"Maulina","given":"Rindawati","non-dropping-particle":"","parse-names":false,"suffix":""},{"dropping-particle":"","family":"Dhewanto","given":"W","non-dropping-particle":"","parse-names":false,"suffix":""},{"dropping-particle":"","family":"Faturrahman","given":"T","non-dropping-particle":"","parse-names":false,"suffix":""}],"container-title":"Heliyon","id":"ITEM-2","issued":{"date-parts":[["2023"]]},"title":"The integration of Islamic social and commercial finance (IISCF): Systematic literature review, bibliometric analysis, conceptual framework, and future research opportunities","type":"article-journal","volume":"9"},"uris":["http://www.mendeley.com/documents/?uuid=d6165518-5c6c-4a2a-8be4-3a27558fa71e"]}],"mendeley":{"formattedCitation":"(Maulina et al., 2023; Qurrata et al., 2025)","plainTextFormattedCitation":"(Maulina et al., 2023; Qurrata et al., 2025)","previouslyFormattedCitation":"(Maulina et al., 2023; Qurrata et al., 2025)"},"properties":{"noteIndex":0},"schema":"https://github.com/citation-style-language/schema/raw/master/csl-citation.json"}</w:instrText>
      </w:r>
      <w:r w:rsidR="00663F62">
        <w:rPr>
          <w:rFonts w:ascii="Palatino Linotype" w:hAnsi="Palatino Linotype" w:cs="Calibri Light"/>
          <w:sz w:val="24"/>
          <w:szCs w:val="24"/>
          <w:lang w:val="en-ID" w:eastAsia="en-ID"/>
        </w:rPr>
        <w:fldChar w:fldCharType="separate"/>
      </w:r>
      <w:r w:rsidR="00663F62" w:rsidRPr="00663F62">
        <w:rPr>
          <w:rFonts w:ascii="Palatino Linotype" w:hAnsi="Palatino Linotype" w:cs="Calibri Light"/>
          <w:noProof/>
          <w:sz w:val="24"/>
          <w:szCs w:val="24"/>
          <w:lang w:val="en-ID" w:eastAsia="en-ID"/>
        </w:rPr>
        <w:t>(Maulina et al., 2023; Qurrata et al., 2025)</w:t>
      </w:r>
      <w:r w:rsidR="00663F62">
        <w:rPr>
          <w:rFonts w:ascii="Palatino Linotype" w:hAnsi="Palatino Linotype" w:cs="Calibri Light"/>
          <w:sz w:val="24"/>
          <w:szCs w:val="24"/>
          <w:lang w:val="en-ID" w:eastAsia="en-ID"/>
        </w:rPr>
        <w:fldChar w:fldCharType="end"/>
      </w:r>
      <w:r w:rsidRPr="004A3649">
        <w:rPr>
          <w:rFonts w:ascii="Palatino Linotype" w:hAnsi="Palatino Linotype" w:cs="Calibri Light"/>
          <w:sz w:val="24"/>
          <w:szCs w:val="24"/>
          <w:lang w:val="en-ID" w:eastAsia="en-ID"/>
        </w:rPr>
        <w:t>. In practical terms, policymakers should develop standardized governance indicators, unified reporting frameworks, and integrated supervisory systems capable of ensuring consistent compliance across zakat and waqf institutions while simultaneously enhancing public confidence and institutional credibility.</w:t>
      </w:r>
    </w:p>
    <w:p w14:paraId="135F9D94" w14:textId="77777777" w:rsidR="004A3649" w:rsidRPr="004A3649" w:rsidRDefault="004A3649" w:rsidP="004A3649">
      <w:pPr>
        <w:spacing w:line="228" w:lineRule="auto"/>
        <w:ind w:firstLine="720"/>
        <w:jc w:val="both"/>
        <w:rPr>
          <w:rFonts w:ascii="Palatino Linotype" w:hAnsi="Palatino Linotype" w:cs="Calibri Light"/>
          <w:sz w:val="24"/>
          <w:szCs w:val="24"/>
          <w:lang w:val="en-ID" w:eastAsia="en-ID"/>
        </w:rPr>
      </w:pPr>
      <w:r w:rsidRPr="004A3649">
        <w:rPr>
          <w:rFonts w:ascii="Palatino Linotype" w:hAnsi="Palatino Linotype" w:cs="Calibri Light"/>
          <w:sz w:val="24"/>
          <w:szCs w:val="24"/>
          <w:lang w:val="en-ID" w:eastAsia="en-ID"/>
        </w:rPr>
        <w:t>The research also demonstrates that Sharia compliance remains normatively strong because Islamic social finance institutions consistently refer to DSN-MUI fatwas as ethical and jurisprudential guidance. Nevertheless, the legal effectiveness of these fatwas remains limited because they generally lack binding statutory force unless explicitly incorporated into national legislation. This finding corresponds with previous studies highlighting the complementary relationship between Islamic jurisprudence and positive law within Indonesia's dual legal system. However, unlike earlier scholarship emphasizing normative legitimacy, the present study argues that the practical implementation of Sharia governance requires stronger legal integration between religious fatwas and statutory regulations. Theoretically, these findings enrich the discourse on legal pluralism by illustrating how Islamic legal norms and state law interact to shape governance effectiveness. Practically, legislators and regulatory institutions should establish clearer mechanisms for translating authoritative Sharia guidance into enforceable legal instruments, thereby strengthening legal certainty, improving regulatory consistency, and minimizing interpretative disparities among Islamic social finance institutions.</w:t>
      </w:r>
    </w:p>
    <w:p w14:paraId="1CB4D916" w14:textId="77777777" w:rsidR="001F5540" w:rsidRDefault="001F5540" w:rsidP="0074288E">
      <w:pPr>
        <w:spacing w:line="228" w:lineRule="auto"/>
        <w:jc w:val="both"/>
        <w:rPr>
          <w:rFonts w:ascii="Palatino Linotype" w:hAnsi="Palatino Linotype" w:cs="Calibri Light"/>
          <w:sz w:val="24"/>
          <w:szCs w:val="24"/>
          <w:lang w:val="id-ID" w:eastAsia="en-ID"/>
        </w:rPr>
      </w:pPr>
    </w:p>
    <w:p w14:paraId="5521B705" w14:textId="2A2DC389" w:rsidR="001E05C6" w:rsidRPr="00D310BC" w:rsidRDefault="001E05C6" w:rsidP="0074288E">
      <w:pPr>
        <w:spacing w:line="228" w:lineRule="auto"/>
        <w:jc w:val="both"/>
        <w:rPr>
          <w:rFonts w:ascii="Palatino Linotype" w:hAnsi="Palatino Linotype" w:cs="Calibri Light"/>
          <w:color w:val="BF4E14" w:themeColor="accent2" w:themeShade="BF"/>
          <w:sz w:val="24"/>
          <w:szCs w:val="24"/>
          <w:lang w:val="en-US" w:eastAsia="en-ID"/>
        </w:rPr>
      </w:pPr>
      <w:r w:rsidRPr="00D310BC">
        <w:rPr>
          <w:rFonts w:ascii="Palatino Linotype" w:hAnsi="Palatino Linotype" w:cs="Calibri Light"/>
          <w:b/>
          <w:bCs/>
          <w:color w:val="BF4E14" w:themeColor="accent2" w:themeShade="BF"/>
          <w:sz w:val="24"/>
          <w:szCs w:val="24"/>
          <w:lang w:val="en-US" w:eastAsia="en-ID"/>
        </w:rPr>
        <w:t>CONCLUSION</w:t>
      </w:r>
    </w:p>
    <w:p w14:paraId="3734D8CC" w14:textId="77777777" w:rsidR="004A3649" w:rsidRPr="004A3649" w:rsidRDefault="004A3649" w:rsidP="004A3649">
      <w:pPr>
        <w:spacing w:line="216" w:lineRule="auto"/>
        <w:ind w:firstLine="720"/>
        <w:jc w:val="both"/>
        <w:rPr>
          <w:rFonts w:ascii="Palatino Linotype" w:hAnsi="Palatino Linotype" w:cs="Calibri Light"/>
          <w:sz w:val="24"/>
          <w:szCs w:val="24"/>
          <w:lang w:val="en-ID" w:eastAsia="en-ID"/>
        </w:rPr>
      </w:pPr>
      <w:r w:rsidRPr="004A3649">
        <w:rPr>
          <w:rFonts w:ascii="Palatino Linotype" w:hAnsi="Palatino Linotype" w:cs="Calibri Light"/>
          <w:sz w:val="24"/>
          <w:szCs w:val="24"/>
          <w:lang w:val="en-ID" w:eastAsia="en-ID"/>
        </w:rPr>
        <w:t xml:space="preserve">This study concludes that the effectiveness of Islamic social finance governance in Indonesia is primarily determined not only by the existence of a comprehensive legal framework but also by the extent to which regulatory, institutional, and supervisory mechanisms are harmonized in practice. The most significant finding is that while Indonesia has established a strong statutory and Sharia-based legal foundation for zakat and waqf governance, fragmented institutional coordination and the absence of integrated governance standards continue to limit the realization of sustainable socio-economic benefits. The principal scholarly contribution of this study lies in developing a comprehensive legal governance perspective that integrates the principles of </w:t>
      </w:r>
      <w:proofErr w:type="spellStart"/>
      <w:r w:rsidRPr="004A3649">
        <w:rPr>
          <w:rFonts w:ascii="Palatino Linotype" w:hAnsi="Palatino Linotype" w:cs="Calibri Light"/>
          <w:i/>
          <w:iCs/>
          <w:sz w:val="24"/>
          <w:szCs w:val="24"/>
          <w:lang w:val="en-ID" w:eastAsia="en-ID"/>
        </w:rPr>
        <w:t>maqā</w:t>
      </w:r>
      <w:r w:rsidRPr="004A3649">
        <w:rPr>
          <w:rFonts w:ascii="Cambria" w:hAnsi="Cambria" w:cs="Cambria"/>
          <w:i/>
          <w:iCs/>
          <w:sz w:val="24"/>
          <w:szCs w:val="24"/>
          <w:lang w:val="en-ID" w:eastAsia="en-ID"/>
        </w:rPr>
        <w:t>ṣ</w:t>
      </w:r>
      <w:r w:rsidRPr="004A3649">
        <w:rPr>
          <w:rFonts w:ascii="Palatino Linotype" w:hAnsi="Palatino Linotype" w:cs="Calibri Light"/>
          <w:i/>
          <w:iCs/>
          <w:sz w:val="24"/>
          <w:szCs w:val="24"/>
          <w:lang w:val="en-ID" w:eastAsia="en-ID"/>
        </w:rPr>
        <w:t>id</w:t>
      </w:r>
      <w:proofErr w:type="spellEnd"/>
      <w:r w:rsidRPr="004A3649">
        <w:rPr>
          <w:rFonts w:ascii="Palatino Linotype" w:hAnsi="Palatino Linotype" w:cs="Calibri Light"/>
          <w:i/>
          <w:iCs/>
          <w:sz w:val="24"/>
          <w:szCs w:val="24"/>
          <w:lang w:val="en-ID" w:eastAsia="en-ID"/>
        </w:rPr>
        <w:t xml:space="preserve"> al-</w:t>
      </w:r>
      <w:proofErr w:type="spellStart"/>
      <w:r w:rsidRPr="004A3649">
        <w:rPr>
          <w:rFonts w:ascii="Palatino Linotype" w:hAnsi="Palatino Linotype" w:cs="Calibri Light"/>
          <w:i/>
          <w:iCs/>
          <w:sz w:val="24"/>
          <w:szCs w:val="24"/>
          <w:lang w:val="en-ID" w:eastAsia="en-ID"/>
        </w:rPr>
        <w:t>sharī'ah</w:t>
      </w:r>
      <w:proofErr w:type="spellEnd"/>
      <w:r w:rsidRPr="004A3649">
        <w:rPr>
          <w:rFonts w:ascii="Palatino Linotype" w:hAnsi="Palatino Linotype" w:cs="Calibri Light"/>
          <w:sz w:val="24"/>
          <w:szCs w:val="24"/>
          <w:lang w:val="en-ID" w:eastAsia="en-ID"/>
        </w:rPr>
        <w:t xml:space="preserve">, justice, legal certainty, accountability, and good governance into a unified analytical framework for assessing Islamic social finance governance. This perspective enriches the literature by demonstrating that legal effectiveness should be evaluated through institutional integration rather than legislative completeness alone. Nevertheless, this research is limited by its reliance on normative legal analysis and secondary sources, which restrict empirical assessment of governance practices across Islamic social finance institutions. </w:t>
      </w:r>
      <w:r w:rsidRPr="004A3649">
        <w:rPr>
          <w:rFonts w:ascii="Palatino Linotype" w:hAnsi="Palatino Linotype" w:cs="Calibri Light"/>
          <w:sz w:val="24"/>
          <w:szCs w:val="24"/>
          <w:lang w:val="en-ID" w:eastAsia="en-ID"/>
        </w:rPr>
        <w:lastRenderedPageBreak/>
        <w:t>Future studies are therefore encouraged to employ empirical, comparative, or mixed-method approaches involving multiple stakeholders to examine the implementation of integrated governance models and evaluate their impact on institutional performance and public welfare outcomes.</w:t>
      </w:r>
    </w:p>
    <w:p w14:paraId="374F2EFD" w14:textId="77777777" w:rsidR="001E05C6" w:rsidRPr="00A55CEB" w:rsidRDefault="001E05C6" w:rsidP="0074288E">
      <w:pPr>
        <w:spacing w:line="216" w:lineRule="auto"/>
        <w:ind w:firstLine="720"/>
        <w:jc w:val="both"/>
        <w:rPr>
          <w:rFonts w:ascii="Palatino Linotype" w:hAnsi="Palatino Linotype" w:cs="Calibri Light"/>
          <w:sz w:val="24"/>
          <w:szCs w:val="24"/>
          <w:lang w:val="en-US" w:eastAsia="en-ID"/>
        </w:rPr>
      </w:pPr>
    </w:p>
    <w:p w14:paraId="73CA812A" w14:textId="6C4B6B72" w:rsidR="001E05C6" w:rsidRPr="00D310BC" w:rsidRDefault="001E05C6" w:rsidP="0074288E">
      <w:pPr>
        <w:spacing w:line="216" w:lineRule="auto"/>
        <w:jc w:val="both"/>
        <w:rPr>
          <w:rFonts w:ascii="Palatino Linotype" w:hAnsi="Palatino Linotype" w:cs="Calibri Light"/>
          <w:b/>
          <w:bCs/>
          <w:color w:val="BF4E14" w:themeColor="accent2" w:themeShade="BF"/>
          <w:sz w:val="24"/>
          <w:szCs w:val="24"/>
          <w:lang w:val="en-US" w:eastAsia="en-ID"/>
        </w:rPr>
      </w:pPr>
      <w:r w:rsidRPr="00D310BC">
        <w:rPr>
          <w:rFonts w:ascii="Palatino Linotype" w:hAnsi="Palatino Linotype" w:cs="Calibri Light"/>
          <w:b/>
          <w:bCs/>
          <w:color w:val="BF4E14" w:themeColor="accent2" w:themeShade="BF"/>
          <w:sz w:val="24"/>
          <w:szCs w:val="24"/>
          <w:lang w:val="en-US" w:eastAsia="en-ID"/>
        </w:rPr>
        <w:t>ACKNOWLEDGEMENT</w:t>
      </w:r>
    </w:p>
    <w:p w14:paraId="3ACA1F9F" w14:textId="5107960B" w:rsidR="001E05C6" w:rsidRPr="00A55CEB" w:rsidRDefault="004A3649" w:rsidP="0074288E">
      <w:pPr>
        <w:spacing w:line="216" w:lineRule="auto"/>
        <w:ind w:firstLine="720"/>
        <w:jc w:val="both"/>
        <w:rPr>
          <w:rFonts w:ascii="Palatino Linotype" w:hAnsi="Palatino Linotype" w:cs="Calibri Light"/>
          <w:sz w:val="24"/>
          <w:szCs w:val="24"/>
          <w:lang w:val="id-ID" w:eastAsia="en-ID"/>
        </w:rPr>
      </w:pPr>
      <w:r w:rsidRPr="004A3649">
        <w:rPr>
          <w:rFonts w:ascii="Palatino Linotype" w:hAnsi="Palatino Linotype" w:cs="Calibri Light"/>
          <w:sz w:val="24"/>
          <w:szCs w:val="24"/>
          <w:lang w:eastAsia="en-ID"/>
        </w:rPr>
        <w:t>The authors sincerely express their gratitude to all individuals and institutions who contributed to the completion of this research. Special appreciation is extended to academic colleagues, reviewers, and practitioners whose valuable insights and constructive feedback significantly enhanced the quality of this study. The authors also acknowledge the support provided by their affiliated institution, which facilitated the research process. Any remaining shortcomings are solely the responsibility of the authors.</w:t>
      </w:r>
    </w:p>
    <w:p w14:paraId="3C8A238C" w14:textId="77777777" w:rsidR="004A3649" w:rsidRDefault="004A3649" w:rsidP="0074288E">
      <w:pPr>
        <w:autoSpaceDE w:val="0"/>
        <w:autoSpaceDN w:val="0"/>
        <w:adjustRightInd w:val="0"/>
        <w:spacing w:line="216" w:lineRule="auto"/>
        <w:ind w:left="480" w:hanging="480"/>
        <w:jc w:val="center"/>
        <w:rPr>
          <w:rFonts w:ascii="Palatino Linotype" w:hAnsi="Palatino Linotype" w:cs="Calibri Light"/>
          <w:sz w:val="24"/>
          <w:szCs w:val="24"/>
          <w:lang w:val="en-US" w:eastAsia="en-ID"/>
        </w:rPr>
      </w:pPr>
    </w:p>
    <w:p w14:paraId="1D7560DB" w14:textId="77777777" w:rsidR="004A3649" w:rsidRDefault="004A3649" w:rsidP="0074288E">
      <w:pPr>
        <w:autoSpaceDE w:val="0"/>
        <w:autoSpaceDN w:val="0"/>
        <w:adjustRightInd w:val="0"/>
        <w:spacing w:line="216" w:lineRule="auto"/>
        <w:ind w:left="480" w:hanging="480"/>
        <w:jc w:val="center"/>
        <w:rPr>
          <w:rFonts w:ascii="Palatino Linotype" w:hAnsi="Palatino Linotype" w:cs="Calibri Light"/>
          <w:sz w:val="24"/>
          <w:szCs w:val="24"/>
          <w:lang w:val="en-US" w:eastAsia="en-ID"/>
        </w:rPr>
      </w:pPr>
    </w:p>
    <w:p w14:paraId="3617A7DF" w14:textId="1A828D59" w:rsidR="001E05C6" w:rsidRDefault="001E05C6" w:rsidP="0074288E">
      <w:pPr>
        <w:autoSpaceDE w:val="0"/>
        <w:autoSpaceDN w:val="0"/>
        <w:adjustRightInd w:val="0"/>
        <w:spacing w:line="216" w:lineRule="auto"/>
        <w:ind w:left="480" w:hanging="480"/>
        <w:jc w:val="center"/>
        <w:rPr>
          <w:rFonts w:ascii="Palatino Linotype" w:hAnsi="Palatino Linotype" w:cs="Calibri Light"/>
          <w:b/>
          <w:bCs/>
          <w:color w:val="BF4E14" w:themeColor="accent2" w:themeShade="BF"/>
          <w:sz w:val="24"/>
          <w:szCs w:val="24"/>
          <w:lang w:val="en-US" w:eastAsia="en-ID"/>
        </w:rPr>
      </w:pPr>
      <w:r w:rsidRPr="00D310BC">
        <w:rPr>
          <w:rFonts w:ascii="Palatino Linotype" w:hAnsi="Palatino Linotype" w:cs="Calibri Light"/>
          <w:b/>
          <w:bCs/>
          <w:color w:val="BF4E14" w:themeColor="accent2" w:themeShade="BF"/>
          <w:sz w:val="24"/>
          <w:szCs w:val="24"/>
          <w:lang w:val="en-US" w:eastAsia="en-ID"/>
        </w:rPr>
        <w:t>REFERENCES</w:t>
      </w:r>
    </w:p>
    <w:p w14:paraId="3C7E74FC" w14:textId="77777777" w:rsidR="00CF75FE" w:rsidRPr="00663F62" w:rsidRDefault="00CF75FE" w:rsidP="00663F62">
      <w:pPr>
        <w:autoSpaceDE w:val="0"/>
        <w:autoSpaceDN w:val="0"/>
        <w:adjustRightInd w:val="0"/>
        <w:spacing w:line="216" w:lineRule="auto"/>
        <w:ind w:left="480" w:hanging="480"/>
        <w:jc w:val="both"/>
        <w:rPr>
          <w:rFonts w:ascii="Palatino Linotype" w:hAnsi="Palatino Linotype" w:cs="Calibri Light"/>
          <w:b/>
          <w:bCs/>
          <w:color w:val="BF4E14" w:themeColor="accent2" w:themeShade="BF"/>
          <w:sz w:val="24"/>
          <w:szCs w:val="24"/>
          <w:lang w:val="en-US" w:eastAsia="en-ID"/>
        </w:rPr>
      </w:pPr>
    </w:p>
    <w:bookmarkEnd w:id="2"/>
    <w:p w14:paraId="7E8DD662" w14:textId="44A05BFB"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cs="Calibri Light"/>
          <w:sz w:val="24"/>
          <w:szCs w:val="24"/>
        </w:rPr>
        <w:fldChar w:fldCharType="begin" w:fldLock="1"/>
      </w:r>
      <w:r w:rsidRPr="00663F62">
        <w:rPr>
          <w:rFonts w:ascii="Palatino Linotype" w:hAnsi="Palatino Linotype" w:cs="Calibri Light"/>
          <w:sz w:val="24"/>
          <w:szCs w:val="24"/>
        </w:rPr>
        <w:instrText xml:space="preserve">ADDIN Mendeley Bibliography CSL_BIBLIOGRAPHY </w:instrText>
      </w:r>
      <w:r w:rsidRPr="00663F62">
        <w:rPr>
          <w:rFonts w:ascii="Palatino Linotype" w:hAnsi="Palatino Linotype" w:cs="Calibri Light"/>
          <w:sz w:val="24"/>
          <w:szCs w:val="24"/>
        </w:rPr>
        <w:fldChar w:fldCharType="separate"/>
      </w:r>
      <w:r w:rsidRPr="00663F62">
        <w:rPr>
          <w:rFonts w:ascii="Palatino Linotype" w:hAnsi="Palatino Linotype"/>
          <w:noProof/>
          <w:sz w:val="24"/>
          <w:szCs w:val="24"/>
        </w:rPr>
        <w:t xml:space="preserve">Adzkiya’, U., Fittria, A., &amp; Wathani, S. (2023). Islamic Philanthropy: Exploring Zakat, Waqf, and Sadaqah in Islamic Finance and Economics. </w:t>
      </w:r>
      <w:r w:rsidRPr="00663F62">
        <w:rPr>
          <w:rFonts w:ascii="Palatino Linotype" w:hAnsi="Palatino Linotype"/>
          <w:i/>
          <w:iCs/>
          <w:noProof/>
          <w:sz w:val="24"/>
          <w:szCs w:val="24"/>
        </w:rPr>
        <w:t>Quantitative Finance</w:t>
      </w:r>
      <w:r w:rsidRPr="00663F62">
        <w:rPr>
          <w:rFonts w:ascii="Palatino Linotype" w:hAnsi="Palatino Linotype"/>
          <w:noProof/>
          <w:sz w:val="24"/>
          <w:szCs w:val="24"/>
        </w:rPr>
        <w:t xml:space="preserve">, </w:t>
      </w:r>
      <w:r w:rsidRPr="00663F62">
        <w:rPr>
          <w:rFonts w:ascii="Palatino Linotype" w:hAnsi="Palatino Linotype"/>
          <w:i/>
          <w:iCs/>
          <w:noProof/>
          <w:sz w:val="24"/>
          <w:szCs w:val="24"/>
        </w:rPr>
        <w:t>23</w:t>
      </w:r>
      <w:r w:rsidRPr="00663F62">
        <w:rPr>
          <w:rFonts w:ascii="Palatino Linotype" w:hAnsi="Palatino Linotype"/>
          <w:noProof/>
          <w:sz w:val="24"/>
          <w:szCs w:val="24"/>
        </w:rPr>
        <w:t>, 1561–1563. https://doi.org/10.1080/14697688.2023.2224395</w:t>
      </w:r>
    </w:p>
    <w:p w14:paraId="226678D2"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Akhter, A., Javed, M. Y., &amp; Akhter, J. (2023). Research trends in the field of Islamic social finance: a bibliometric analysis from 1914 to 2022. </w:t>
      </w:r>
      <w:r w:rsidRPr="00663F62">
        <w:rPr>
          <w:rFonts w:ascii="Palatino Linotype" w:hAnsi="Palatino Linotype"/>
          <w:i/>
          <w:iCs/>
          <w:noProof/>
          <w:sz w:val="24"/>
          <w:szCs w:val="24"/>
        </w:rPr>
        <w:t>International Journal of Ethics and Systems</w:t>
      </w:r>
      <w:r w:rsidRPr="00663F62">
        <w:rPr>
          <w:rFonts w:ascii="Palatino Linotype" w:hAnsi="Palatino Linotype"/>
          <w:noProof/>
          <w:sz w:val="24"/>
          <w:szCs w:val="24"/>
        </w:rPr>
        <w:t>. https://doi.org/10.1108/ijoes-03-2023-0044</w:t>
      </w:r>
    </w:p>
    <w:p w14:paraId="5035D6A5"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Ali, A. (2024). Community-based Economic Development and Partnership Cooperation: The Economics Strategy for Prosperity of the Ummah. </w:t>
      </w:r>
      <w:r w:rsidRPr="00663F62">
        <w:rPr>
          <w:rFonts w:ascii="Palatino Linotype" w:hAnsi="Palatino Linotype"/>
          <w:i/>
          <w:iCs/>
          <w:noProof/>
          <w:sz w:val="24"/>
          <w:szCs w:val="24"/>
        </w:rPr>
        <w:t>Samarah: Jurnal Hukum Keluarga Dan Hukum Islam</w:t>
      </w:r>
      <w:r w:rsidRPr="00663F62">
        <w:rPr>
          <w:rFonts w:ascii="Palatino Linotype" w:hAnsi="Palatino Linotype"/>
          <w:noProof/>
          <w:sz w:val="24"/>
          <w:szCs w:val="24"/>
        </w:rPr>
        <w:t>. https://doi.org/10.22373/sjhk.v8i2.22925</w:t>
      </w:r>
    </w:p>
    <w:p w14:paraId="3C786749"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Anggriani, R., Asuhaimi, F. A., Wahyudi, J., Fauziah, N., &amp; Asuhaimi, F. A. (2025). Agreement of Waqf in Indonesia and Malaysia: Harmonisation with Quranic Principles and Modern Legal Frameworks. </w:t>
      </w:r>
      <w:r w:rsidRPr="00663F62">
        <w:rPr>
          <w:rFonts w:ascii="Palatino Linotype" w:hAnsi="Palatino Linotype"/>
          <w:i/>
          <w:iCs/>
          <w:noProof/>
          <w:sz w:val="24"/>
          <w:szCs w:val="24"/>
        </w:rPr>
        <w:t>Ijtihad</w:t>
      </w:r>
      <w:r w:rsidRPr="00663F62">
        <w:rPr>
          <w:i/>
          <w:iCs/>
          <w:noProof/>
          <w:sz w:val="24"/>
          <w:szCs w:val="24"/>
        </w:rPr>
        <w:t> </w:t>
      </w:r>
      <w:r w:rsidRPr="00663F62">
        <w:rPr>
          <w:rFonts w:ascii="Palatino Linotype" w:hAnsi="Palatino Linotype"/>
          <w:i/>
          <w:iCs/>
          <w:noProof/>
          <w:sz w:val="24"/>
          <w:szCs w:val="24"/>
        </w:rPr>
        <w:t>: Jurnal Wacana Hukum Islam Dan Kemanusiaan</w:t>
      </w:r>
      <w:r w:rsidRPr="00663F62">
        <w:rPr>
          <w:rFonts w:ascii="Palatino Linotype" w:hAnsi="Palatino Linotype"/>
          <w:noProof/>
          <w:sz w:val="24"/>
          <w:szCs w:val="24"/>
        </w:rPr>
        <w:t>. https://doi.org/10.18326/ijtihad.v25i2.231-255</w:t>
      </w:r>
    </w:p>
    <w:p w14:paraId="721F3235"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Aripin, J. (2025). Hajj Fund Investment: A Comparative Contemporary Fiqh Study on Maslahah and Public Policy Perspectives in Indonesia. </w:t>
      </w:r>
      <w:r w:rsidRPr="00663F62">
        <w:rPr>
          <w:rFonts w:ascii="Palatino Linotype" w:hAnsi="Palatino Linotype"/>
          <w:i/>
          <w:iCs/>
          <w:noProof/>
          <w:sz w:val="24"/>
          <w:szCs w:val="24"/>
        </w:rPr>
        <w:t>MILRev: Metro Islamic Law Review</w:t>
      </w:r>
      <w:r w:rsidRPr="00663F62">
        <w:rPr>
          <w:rFonts w:ascii="Palatino Linotype" w:hAnsi="Palatino Linotype"/>
          <w:noProof/>
          <w:sz w:val="24"/>
          <w:szCs w:val="24"/>
        </w:rPr>
        <w:t>. https://doi.org/10.32332/milrev.v4i1.10424</w:t>
      </w:r>
    </w:p>
    <w:p w14:paraId="31D62187"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Article, Q., Saputra, M. S., Tanjung, Y., Yurisna, M., &amp; Tanjung. (2024). Enhancing Sustainability through Agricultural Zakāt -Based Philanthropy Movement: A Comprehensive Study on Social Welfare Capital. </w:t>
      </w:r>
      <w:r w:rsidRPr="00663F62">
        <w:rPr>
          <w:rFonts w:ascii="Palatino Linotype" w:hAnsi="Palatino Linotype"/>
          <w:i/>
          <w:iCs/>
          <w:noProof/>
          <w:sz w:val="24"/>
          <w:szCs w:val="24"/>
        </w:rPr>
        <w:t>Journal of Islamic Thought and Civilization</w:t>
      </w:r>
      <w:r w:rsidRPr="00663F62">
        <w:rPr>
          <w:rFonts w:ascii="Palatino Linotype" w:hAnsi="Palatino Linotype"/>
          <w:noProof/>
          <w:sz w:val="24"/>
          <w:szCs w:val="24"/>
        </w:rPr>
        <w:t>. https://doi.org/10.32350/jitc.141.14</w:t>
      </w:r>
    </w:p>
    <w:p w14:paraId="7ED0FEB2"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Asyiqin, I. Z., Hamsin, M., &amp; Hisyam, A. B. A. (2026). From Hybrid Contracts to Waqf–Musyārakah-Based Takaful: A Maqā</w:t>
      </w:r>
      <w:r w:rsidRPr="00663F62">
        <w:rPr>
          <w:rFonts w:ascii="Cambria" w:hAnsi="Cambria" w:cs="Cambria"/>
          <w:noProof/>
          <w:sz w:val="24"/>
          <w:szCs w:val="24"/>
        </w:rPr>
        <w:t>ṣ</w:t>
      </w:r>
      <w:r w:rsidRPr="00663F62">
        <w:rPr>
          <w:rFonts w:ascii="Palatino Linotype" w:hAnsi="Palatino Linotype"/>
          <w:noProof/>
          <w:sz w:val="24"/>
          <w:szCs w:val="24"/>
        </w:rPr>
        <w:t xml:space="preserve">id al-Syarī‘ah Comparative Legal Analysis of Indonesia and Malaysia. </w:t>
      </w:r>
      <w:r w:rsidRPr="00663F62">
        <w:rPr>
          <w:rFonts w:ascii="Palatino Linotype" w:hAnsi="Palatino Linotype"/>
          <w:i/>
          <w:iCs/>
          <w:noProof/>
          <w:sz w:val="24"/>
          <w:szCs w:val="24"/>
        </w:rPr>
        <w:t>JURIS (Jurnal Ilmiah Syariah)</w:t>
      </w:r>
      <w:r w:rsidRPr="00663F62">
        <w:rPr>
          <w:rFonts w:ascii="Palatino Linotype" w:hAnsi="Palatino Linotype"/>
          <w:noProof/>
          <w:sz w:val="24"/>
          <w:szCs w:val="24"/>
        </w:rPr>
        <w:t>. https://doi.org/10.31958/juris.v25i1.13147</w:t>
      </w:r>
    </w:p>
    <w:p w14:paraId="32C7FDE2"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Choiri, M., &amp; Ardyansyah, F. (2024). The Politics of Waqf Practice in Pesantren Kyai Families in Bangkalan Madura, Indonesia. </w:t>
      </w:r>
      <w:r w:rsidRPr="00663F62">
        <w:rPr>
          <w:rFonts w:ascii="Palatino Linotype" w:hAnsi="Palatino Linotype"/>
          <w:i/>
          <w:iCs/>
          <w:noProof/>
          <w:sz w:val="24"/>
          <w:szCs w:val="24"/>
        </w:rPr>
        <w:t xml:space="preserve">El-Usrah: Jurnal Hukum </w:t>
      </w:r>
      <w:r w:rsidRPr="00663F62">
        <w:rPr>
          <w:rFonts w:ascii="Palatino Linotype" w:hAnsi="Palatino Linotype"/>
          <w:i/>
          <w:iCs/>
          <w:noProof/>
          <w:sz w:val="24"/>
          <w:szCs w:val="24"/>
        </w:rPr>
        <w:lastRenderedPageBreak/>
        <w:t>Keluarga</w:t>
      </w:r>
      <w:r w:rsidRPr="00663F62">
        <w:rPr>
          <w:rFonts w:ascii="Palatino Linotype" w:hAnsi="Palatino Linotype"/>
          <w:noProof/>
          <w:sz w:val="24"/>
          <w:szCs w:val="24"/>
        </w:rPr>
        <w:t>. https://doi.org/10.22373/ujhk.v7i1.22186</w:t>
      </w:r>
    </w:p>
    <w:p w14:paraId="3D638D76"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Contemporary, A., Fiqh, E., Maskun, Ratnawati, Wiranti, Asriyani, &amp; Aslan, J. (2025). Legal Framework Model for Sustainable Solid Waste Management in Indonesia: A Contemporary Environmental Fiqh Perspective. </w:t>
      </w:r>
      <w:r w:rsidRPr="00663F62">
        <w:rPr>
          <w:rFonts w:ascii="Palatino Linotype" w:hAnsi="Palatino Linotype"/>
          <w:i/>
          <w:iCs/>
          <w:noProof/>
          <w:sz w:val="24"/>
          <w:szCs w:val="24"/>
        </w:rPr>
        <w:t>MILRev: Metro Islamic Law Review</w:t>
      </w:r>
      <w:r w:rsidRPr="00663F62">
        <w:rPr>
          <w:rFonts w:ascii="Palatino Linotype" w:hAnsi="Palatino Linotype"/>
          <w:noProof/>
          <w:sz w:val="24"/>
          <w:szCs w:val="24"/>
        </w:rPr>
        <w:t>. https://doi.org/10.32332/milrev.v4i2.11104</w:t>
      </w:r>
    </w:p>
    <w:p w14:paraId="2F36B0D9"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Dirie, K., Alam, M. M., &amp; Maamor, S. (2023). Islamic social finance for achieving sustainable development goals: a systematic literature review and future research agenda. </w:t>
      </w:r>
      <w:r w:rsidRPr="00663F62">
        <w:rPr>
          <w:rFonts w:ascii="Palatino Linotype" w:hAnsi="Palatino Linotype"/>
          <w:i/>
          <w:iCs/>
          <w:noProof/>
          <w:sz w:val="24"/>
          <w:szCs w:val="24"/>
        </w:rPr>
        <w:t>International Journal of Ethics and Systems</w:t>
      </w:r>
      <w:r w:rsidRPr="00663F62">
        <w:rPr>
          <w:rFonts w:ascii="Palatino Linotype" w:hAnsi="Palatino Linotype"/>
          <w:noProof/>
          <w:sz w:val="24"/>
          <w:szCs w:val="24"/>
        </w:rPr>
        <w:t>. https://doi.org/10.1108/ijoes-12-2022-0317</w:t>
      </w:r>
    </w:p>
    <w:p w14:paraId="602B4B86"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Elmahgop, F., Alsulami, F., Mohammed, M., Abdel-Gadir, S., &amp; Elhassan, T. (2025). The Socio-Economic Impacts of Waqf Investment Funds as a Model for Sustainable Financing in Saudi Arabia. </w:t>
      </w:r>
      <w:r w:rsidRPr="00663F62">
        <w:rPr>
          <w:rFonts w:ascii="Palatino Linotype" w:hAnsi="Palatino Linotype"/>
          <w:i/>
          <w:iCs/>
          <w:noProof/>
          <w:sz w:val="24"/>
          <w:szCs w:val="24"/>
        </w:rPr>
        <w:t>Sustainability</w:t>
      </w:r>
      <w:r w:rsidRPr="00663F62">
        <w:rPr>
          <w:rFonts w:ascii="Palatino Linotype" w:hAnsi="Palatino Linotype"/>
          <w:noProof/>
          <w:sz w:val="24"/>
          <w:szCs w:val="24"/>
        </w:rPr>
        <w:t>. https://doi.org/10.3390/su17093805</w:t>
      </w:r>
    </w:p>
    <w:p w14:paraId="77FD3396"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Fadhilah, N., Bariroh, M., Hidayah, N., &amp; Ashfiya, H. (2025). Legal Reform of Zakat Governance Based on Maqa</w:t>
      </w:r>
      <w:r w:rsidRPr="00663F62">
        <w:rPr>
          <w:rFonts w:ascii="Cambria" w:hAnsi="Cambria" w:cs="Cambria"/>
          <w:noProof/>
          <w:sz w:val="24"/>
          <w:szCs w:val="24"/>
        </w:rPr>
        <w:t>ṣ</w:t>
      </w:r>
      <w:r w:rsidRPr="00663F62">
        <w:rPr>
          <w:rFonts w:ascii="Palatino Linotype" w:hAnsi="Palatino Linotype"/>
          <w:noProof/>
          <w:sz w:val="24"/>
          <w:szCs w:val="24"/>
        </w:rPr>
        <w:t xml:space="preserve">id al-Ummah: Optimizing Digital Transformation Toward Social Justice. </w:t>
      </w:r>
      <w:r w:rsidRPr="00663F62">
        <w:rPr>
          <w:rFonts w:ascii="Palatino Linotype" w:hAnsi="Palatino Linotype"/>
          <w:i/>
          <w:iCs/>
          <w:noProof/>
          <w:sz w:val="24"/>
          <w:szCs w:val="24"/>
        </w:rPr>
        <w:t>Jurnal Hukum Islam</w:t>
      </w:r>
      <w:r w:rsidRPr="00663F62">
        <w:rPr>
          <w:rFonts w:ascii="Palatino Linotype" w:hAnsi="Palatino Linotype"/>
          <w:noProof/>
          <w:sz w:val="24"/>
          <w:szCs w:val="24"/>
        </w:rPr>
        <w:t>. https://doi.org/10.28918/jhi.v23i2.06</w:t>
      </w:r>
    </w:p>
    <w:p w14:paraId="47B0EE83"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Fakhruddin, F., Hasan, S., Firdaus, D., &amp; Hidayat, H. (2024). From Fiqh al-Ibadat to Muamalat: Repositioning Zakat Management in Indonesia in the Perspective of Maqā</w:t>
      </w:r>
      <w:r w:rsidRPr="00663F62">
        <w:rPr>
          <w:rFonts w:ascii="Cambria" w:hAnsi="Cambria" w:cs="Cambria"/>
          <w:noProof/>
          <w:sz w:val="24"/>
          <w:szCs w:val="24"/>
        </w:rPr>
        <w:t>ṣ</w:t>
      </w:r>
      <w:r w:rsidRPr="00663F62">
        <w:rPr>
          <w:rFonts w:ascii="Palatino Linotype" w:hAnsi="Palatino Linotype"/>
          <w:noProof/>
          <w:sz w:val="24"/>
          <w:szCs w:val="24"/>
        </w:rPr>
        <w:t xml:space="preserve">id Al-Sharī’ah. </w:t>
      </w:r>
      <w:r w:rsidRPr="00663F62">
        <w:rPr>
          <w:rFonts w:ascii="Palatino Linotype" w:hAnsi="Palatino Linotype"/>
          <w:i/>
          <w:iCs/>
          <w:noProof/>
          <w:sz w:val="24"/>
          <w:szCs w:val="24"/>
        </w:rPr>
        <w:t>Samarah: Jurnal Hukum Keluarga Dan Hukum Islam</w:t>
      </w:r>
      <w:r w:rsidRPr="00663F62">
        <w:rPr>
          <w:rFonts w:ascii="Palatino Linotype" w:hAnsi="Palatino Linotype"/>
          <w:noProof/>
          <w:sz w:val="24"/>
          <w:szCs w:val="24"/>
        </w:rPr>
        <w:t>. https://doi.org/10.22373/sjhk.v8i1.19637</w:t>
      </w:r>
    </w:p>
    <w:p w14:paraId="69BAFC84"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Hadi, M., Rum, J., Maguni, W., &amp; Radiamoda, A. (2025). Toward a Holistic Legal Framework for Effective Waqf Implementation: Integrating Islamic Socio-Economic Models. </w:t>
      </w:r>
      <w:r w:rsidRPr="00663F62">
        <w:rPr>
          <w:rFonts w:ascii="Palatino Linotype" w:hAnsi="Palatino Linotype"/>
          <w:i/>
          <w:iCs/>
          <w:noProof/>
          <w:sz w:val="24"/>
          <w:szCs w:val="24"/>
        </w:rPr>
        <w:t>Volksgeist: Jurnal Ilmu Hukum Dan Konstitusi</w:t>
      </w:r>
      <w:r w:rsidRPr="00663F62">
        <w:rPr>
          <w:rFonts w:ascii="Palatino Linotype" w:hAnsi="Palatino Linotype"/>
          <w:noProof/>
          <w:sz w:val="24"/>
          <w:szCs w:val="24"/>
        </w:rPr>
        <w:t>. https://doi.org/10.24090/volksgeist.v8i1.12590</w:t>
      </w:r>
    </w:p>
    <w:p w14:paraId="4576477E"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Harahap, B., Risfandy, T., &amp; Futri, I. N. (2023). Islamic Law, Islamic Finance, and Sustainable Development Goals: A Systematic Literature Review. </w:t>
      </w:r>
      <w:r w:rsidRPr="00663F62">
        <w:rPr>
          <w:rFonts w:ascii="Palatino Linotype" w:hAnsi="Palatino Linotype"/>
          <w:i/>
          <w:iCs/>
          <w:noProof/>
          <w:sz w:val="24"/>
          <w:szCs w:val="24"/>
        </w:rPr>
        <w:t>Sustainability</w:t>
      </w:r>
      <w:r w:rsidRPr="00663F62">
        <w:rPr>
          <w:rFonts w:ascii="Palatino Linotype" w:hAnsi="Palatino Linotype"/>
          <w:noProof/>
          <w:sz w:val="24"/>
          <w:szCs w:val="24"/>
        </w:rPr>
        <w:t>. https://doi.org/10.3390/su15086626</w:t>
      </w:r>
    </w:p>
    <w:p w14:paraId="65A18A0F"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Hariyanto, E., Wardi, M. C., Nawawi, M., Effendy, M., Hamzah, M., &amp; Nurhidayatuloh, N. (2025). SOCIAL DELEGITIMATION OF RELIGIOUS OBLIGATION: Zakat, Infaq, and Shodaqoh Traditions among Transnational Madurese Migrant Workers of Indonesia-Malaysia. </w:t>
      </w:r>
      <w:r w:rsidRPr="00663F62">
        <w:rPr>
          <w:rFonts w:ascii="Palatino Linotype" w:hAnsi="Palatino Linotype"/>
          <w:i/>
          <w:iCs/>
          <w:noProof/>
          <w:sz w:val="24"/>
          <w:szCs w:val="24"/>
        </w:rPr>
        <w:t>Jurisdictie: Jurnal Hukum Dan Syariah</w:t>
      </w:r>
      <w:r w:rsidRPr="00663F62">
        <w:rPr>
          <w:rFonts w:ascii="Palatino Linotype" w:hAnsi="Palatino Linotype"/>
          <w:noProof/>
          <w:sz w:val="24"/>
          <w:szCs w:val="24"/>
        </w:rPr>
        <w:t>. https://doi.org/10.18860/j.v16i2.36809</w:t>
      </w:r>
    </w:p>
    <w:p w14:paraId="013A40C3"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Hasan, Berlianty, T., Djoanda, M., Titahelu, J., &amp; Sahid, M. M. (2025). Reassessing Islamic Banking Supervision in Indonesia: A Contemporary Islamic and Socio-Legal Perspective on OJK’s Integrated Model. </w:t>
      </w:r>
      <w:r w:rsidRPr="00663F62">
        <w:rPr>
          <w:rFonts w:ascii="Palatino Linotype" w:hAnsi="Palatino Linotype"/>
          <w:i/>
          <w:iCs/>
          <w:noProof/>
          <w:sz w:val="24"/>
          <w:szCs w:val="24"/>
        </w:rPr>
        <w:t>MILRev: Metro Islamic Law Review</w:t>
      </w:r>
      <w:r w:rsidRPr="00663F62">
        <w:rPr>
          <w:rFonts w:ascii="Palatino Linotype" w:hAnsi="Palatino Linotype"/>
          <w:noProof/>
          <w:sz w:val="24"/>
          <w:szCs w:val="24"/>
        </w:rPr>
        <w:t>. https://doi.org/10.32332/milrev.v4i1.10851</w:t>
      </w:r>
    </w:p>
    <w:p w14:paraId="32D32E1D"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Huda, M., Supriyadi, A. P., &amp; Ramadhita. (2025). Productive Waqf Law Reform: A Solution to Support Indonesian Local Economy amid Contemporary Global Recession. </w:t>
      </w:r>
      <w:r w:rsidRPr="00663F62">
        <w:rPr>
          <w:rFonts w:ascii="Palatino Linotype" w:hAnsi="Palatino Linotype"/>
          <w:i/>
          <w:iCs/>
          <w:noProof/>
          <w:sz w:val="24"/>
          <w:szCs w:val="24"/>
        </w:rPr>
        <w:t>MILRev: Metro Islamic Law Review</w:t>
      </w:r>
      <w:r w:rsidRPr="00663F62">
        <w:rPr>
          <w:rFonts w:ascii="Palatino Linotype" w:hAnsi="Palatino Linotype"/>
          <w:noProof/>
          <w:sz w:val="24"/>
          <w:szCs w:val="24"/>
        </w:rPr>
        <w:t>. https://doi.org/10.32332/milrev.v4i2.10210</w:t>
      </w:r>
    </w:p>
    <w:p w14:paraId="6A9CEDFE"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Humaidi, M., Hariyanto, H., &amp; Azizah, M. (2024). Green philanthropy: Islamic activism on Indonesia’s environmental democracy. </w:t>
      </w:r>
      <w:r w:rsidRPr="00663F62">
        <w:rPr>
          <w:rFonts w:ascii="Palatino Linotype" w:hAnsi="Palatino Linotype"/>
          <w:i/>
          <w:iCs/>
          <w:noProof/>
          <w:sz w:val="24"/>
          <w:szCs w:val="24"/>
        </w:rPr>
        <w:t>Ijtihad</w:t>
      </w:r>
      <w:r w:rsidRPr="00663F62">
        <w:rPr>
          <w:i/>
          <w:iCs/>
          <w:noProof/>
          <w:sz w:val="24"/>
          <w:szCs w:val="24"/>
        </w:rPr>
        <w:t> </w:t>
      </w:r>
      <w:r w:rsidRPr="00663F62">
        <w:rPr>
          <w:rFonts w:ascii="Palatino Linotype" w:hAnsi="Palatino Linotype"/>
          <w:i/>
          <w:iCs/>
          <w:noProof/>
          <w:sz w:val="24"/>
          <w:szCs w:val="24"/>
        </w:rPr>
        <w:t xml:space="preserve">: Jurnal Wacana </w:t>
      </w:r>
      <w:r w:rsidRPr="00663F62">
        <w:rPr>
          <w:rFonts w:ascii="Palatino Linotype" w:hAnsi="Palatino Linotype"/>
          <w:i/>
          <w:iCs/>
          <w:noProof/>
          <w:sz w:val="24"/>
          <w:szCs w:val="24"/>
        </w:rPr>
        <w:lastRenderedPageBreak/>
        <w:t>Hukum Islam Dan Kemanusiaan</w:t>
      </w:r>
      <w:r w:rsidRPr="00663F62">
        <w:rPr>
          <w:rFonts w:ascii="Palatino Linotype" w:hAnsi="Palatino Linotype"/>
          <w:noProof/>
          <w:sz w:val="24"/>
          <w:szCs w:val="24"/>
        </w:rPr>
        <w:t>. https://doi.org/10.18326/ijtihad.v24i2.167-191</w:t>
      </w:r>
    </w:p>
    <w:p w14:paraId="21631E5A"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Lestari, Y., Sukmana, R., Beik, I., &amp; Sholihin, M. (2023). The development of national waqf index in Indonesia: A fuzzy AHP approach. </w:t>
      </w:r>
      <w:r w:rsidRPr="00663F62">
        <w:rPr>
          <w:rFonts w:ascii="Palatino Linotype" w:hAnsi="Palatino Linotype"/>
          <w:i/>
          <w:iCs/>
          <w:noProof/>
          <w:sz w:val="24"/>
          <w:szCs w:val="24"/>
        </w:rPr>
        <w:t>Heliyon</w:t>
      </w:r>
      <w:r w:rsidRPr="00663F62">
        <w:rPr>
          <w:rFonts w:ascii="Palatino Linotype" w:hAnsi="Palatino Linotype"/>
          <w:noProof/>
          <w:sz w:val="24"/>
          <w:szCs w:val="24"/>
        </w:rPr>
        <w:t xml:space="preserve">, </w:t>
      </w:r>
      <w:r w:rsidRPr="00663F62">
        <w:rPr>
          <w:rFonts w:ascii="Palatino Linotype" w:hAnsi="Palatino Linotype"/>
          <w:i/>
          <w:iCs/>
          <w:noProof/>
          <w:sz w:val="24"/>
          <w:szCs w:val="24"/>
        </w:rPr>
        <w:t>9</w:t>
      </w:r>
      <w:r w:rsidRPr="00663F62">
        <w:rPr>
          <w:rFonts w:ascii="Palatino Linotype" w:hAnsi="Palatino Linotype"/>
          <w:noProof/>
          <w:sz w:val="24"/>
          <w:szCs w:val="24"/>
        </w:rPr>
        <w:t>. https://doi.org/10.1016/j.heliyon.2023.e15783</w:t>
      </w:r>
    </w:p>
    <w:p w14:paraId="7290223B"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Maghfirah, M., Maulidizen, A., &amp; Rizapoor, H. (2026). Assessing the Alignment of Zakat Allocation with the Sustainable Development Goals: An Empirical Analysis of Poverty and Education Outcomes. </w:t>
      </w:r>
      <w:r w:rsidRPr="00663F62">
        <w:rPr>
          <w:rFonts w:ascii="Palatino Linotype" w:hAnsi="Palatino Linotype"/>
          <w:i/>
          <w:iCs/>
          <w:noProof/>
          <w:sz w:val="24"/>
          <w:szCs w:val="24"/>
        </w:rPr>
        <w:t>Volksgeist: Jurnal Ilmu Hukum Dan Konstitusi</w:t>
      </w:r>
      <w:r w:rsidRPr="00663F62">
        <w:rPr>
          <w:rFonts w:ascii="Palatino Linotype" w:hAnsi="Palatino Linotype"/>
          <w:noProof/>
          <w:sz w:val="24"/>
          <w:szCs w:val="24"/>
        </w:rPr>
        <w:t>. https://doi.org/10.24090/volksgeist.v9i1.15472</w:t>
      </w:r>
    </w:p>
    <w:p w14:paraId="1E7E32D6"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Marpi, Y., Purwadi, H., Suwadi, P., &amp; Elsyafei, H. M. (2025). From Classical Fiqh to Commercial Court: Reconciling Taflīs and Actio Pauliana in Indonesian Legal Practice. </w:t>
      </w:r>
      <w:r w:rsidRPr="00663F62">
        <w:rPr>
          <w:rFonts w:ascii="Palatino Linotype" w:hAnsi="Palatino Linotype"/>
          <w:i/>
          <w:iCs/>
          <w:noProof/>
          <w:sz w:val="24"/>
          <w:szCs w:val="24"/>
        </w:rPr>
        <w:t>JURIS (Jurnal Ilmiah Syariah)</w:t>
      </w:r>
      <w:r w:rsidRPr="00663F62">
        <w:rPr>
          <w:rFonts w:ascii="Palatino Linotype" w:hAnsi="Palatino Linotype"/>
          <w:noProof/>
          <w:sz w:val="24"/>
          <w:szCs w:val="24"/>
        </w:rPr>
        <w:t>. https://doi.org/10.31958/juris.v24i2.15863</w:t>
      </w:r>
    </w:p>
    <w:p w14:paraId="6A7109E4"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Maryani, Arifin, Z., Fathoni, K., Triana, N., Sasnifa, P., Ahmad, S. Bin, Hidayati, R., &amp; Ramlah. (2023). Islamic Philanthropy: Implementation of Regulations And Utilization of Waqf Proceeds in Jambi. </w:t>
      </w:r>
      <w:r w:rsidRPr="00663F62">
        <w:rPr>
          <w:rFonts w:ascii="Palatino Linotype" w:hAnsi="Palatino Linotype"/>
          <w:i/>
          <w:iCs/>
          <w:noProof/>
          <w:sz w:val="24"/>
          <w:szCs w:val="24"/>
        </w:rPr>
        <w:t>Jurnal Hukum Islam</w:t>
      </w:r>
      <w:r w:rsidRPr="00663F62">
        <w:rPr>
          <w:rFonts w:ascii="Palatino Linotype" w:hAnsi="Palatino Linotype"/>
          <w:noProof/>
          <w:sz w:val="24"/>
          <w:szCs w:val="24"/>
        </w:rPr>
        <w:t>. https://doi.org/10.28918/jhi_v21i1_07</w:t>
      </w:r>
    </w:p>
    <w:p w14:paraId="0D955AFB"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Maulina, R., Dhewanto, W., &amp; Faturrahman, T. (2023). The integration of Islamic social and commercial finance (IISCF): Systematic literature review, bibliometric analysis, conceptual framework, and future research opportunities. </w:t>
      </w:r>
      <w:r w:rsidRPr="00663F62">
        <w:rPr>
          <w:rFonts w:ascii="Palatino Linotype" w:hAnsi="Palatino Linotype"/>
          <w:i/>
          <w:iCs/>
          <w:noProof/>
          <w:sz w:val="24"/>
          <w:szCs w:val="24"/>
        </w:rPr>
        <w:t>Heliyon</w:t>
      </w:r>
      <w:r w:rsidRPr="00663F62">
        <w:rPr>
          <w:rFonts w:ascii="Palatino Linotype" w:hAnsi="Palatino Linotype"/>
          <w:noProof/>
          <w:sz w:val="24"/>
          <w:szCs w:val="24"/>
        </w:rPr>
        <w:t xml:space="preserve">, </w:t>
      </w:r>
      <w:r w:rsidRPr="00663F62">
        <w:rPr>
          <w:rFonts w:ascii="Palatino Linotype" w:hAnsi="Palatino Linotype"/>
          <w:i/>
          <w:iCs/>
          <w:noProof/>
          <w:sz w:val="24"/>
          <w:szCs w:val="24"/>
        </w:rPr>
        <w:t>9</w:t>
      </w:r>
      <w:r w:rsidRPr="00663F62">
        <w:rPr>
          <w:rFonts w:ascii="Palatino Linotype" w:hAnsi="Palatino Linotype"/>
          <w:noProof/>
          <w:sz w:val="24"/>
          <w:szCs w:val="24"/>
        </w:rPr>
        <w:t>. https://doi.org/10.1016/j.heliyon.2023.e21612</w:t>
      </w:r>
    </w:p>
    <w:p w14:paraId="35CFF8EB"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Mufid, M., &amp; Muhammad, A. A. (2023). Islamic Philanthropy and Public Policy: A Study of Zakat Fatwas from the New Order Era to the Post-Reform Era. </w:t>
      </w:r>
      <w:r w:rsidRPr="00663F62">
        <w:rPr>
          <w:rFonts w:ascii="Palatino Linotype" w:hAnsi="Palatino Linotype"/>
          <w:i/>
          <w:iCs/>
          <w:noProof/>
          <w:sz w:val="24"/>
          <w:szCs w:val="24"/>
        </w:rPr>
        <w:t>Jurnal Hukum Islam</w:t>
      </w:r>
      <w:r w:rsidRPr="00663F62">
        <w:rPr>
          <w:rFonts w:ascii="Palatino Linotype" w:hAnsi="Palatino Linotype"/>
          <w:noProof/>
          <w:sz w:val="24"/>
          <w:szCs w:val="24"/>
        </w:rPr>
        <w:t>. https://doi.org/10.28918/jhi_v21i2_01</w:t>
      </w:r>
    </w:p>
    <w:p w14:paraId="068D2FE2"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Mukhlishin, M., Wahab, A., Setiaji, B., &amp; Tazhdinov, M. (2024). Zakat Maal Management and Regulation Practices: Evidence from Malaysia, Turki and Indonesia. </w:t>
      </w:r>
      <w:r w:rsidRPr="00663F62">
        <w:rPr>
          <w:rFonts w:ascii="Palatino Linotype" w:hAnsi="Palatino Linotype"/>
          <w:i/>
          <w:iCs/>
          <w:noProof/>
          <w:sz w:val="24"/>
          <w:szCs w:val="24"/>
        </w:rPr>
        <w:t>Journal of Human Rights, Culture and Legal System</w:t>
      </w:r>
      <w:r w:rsidRPr="00663F62">
        <w:rPr>
          <w:rFonts w:ascii="Palatino Linotype" w:hAnsi="Palatino Linotype"/>
          <w:noProof/>
          <w:sz w:val="24"/>
          <w:szCs w:val="24"/>
        </w:rPr>
        <w:t>. https://doi.org/10.53955/jhcls.v4i2.204</w:t>
      </w:r>
    </w:p>
    <w:p w14:paraId="7172A2C7"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Mustofa, M., Ahyani, H., Firdaus, D. A., Putra, H. M., Kirin, A., &amp; Muhammad, Z. (2025). Strengthening Zakat Regulation through the Siyāsah Māliyah Approach: A Constitutional and Legal Analysis of Indonesia and Malaysia. </w:t>
      </w:r>
      <w:r w:rsidRPr="00663F62">
        <w:rPr>
          <w:rFonts w:ascii="Palatino Linotype" w:hAnsi="Palatino Linotype"/>
          <w:i/>
          <w:iCs/>
          <w:noProof/>
          <w:sz w:val="24"/>
          <w:szCs w:val="24"/>
        </w:rPr>
        <w:t>JURIS (Jurnal Ilmiah Syariah)</w:t>
      </w:r>
      <w:r w:rsidRPr="00663F62">
        <w:rPr>
          <w:rFonts w:ascii="Palatino Linotype" w:hAnsi="Palatino Linotype"/>
          <w:noProof/>
          <w:sz w:val="24"/>
          <w:szCs w:val="24"/>
        </w:rPr>
        <w:t>. https://doi.org/10.31958/juris.v24i1.14637</w:t>
      </w:r>
    </w:p>
    <w:p w14:paraId="55DB968A"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Nashirudin, M., Razali, R., &amp; Ulfah, A. K. (2025). Modernizing Zakat and Waqf Management in Indonesia: A Legal And Governance Perspective. </w:t>
      </w:r>
      <w:r w:rsidRPr="00663F62">
        <w:rPr>
          <w:rFonts w:ascii="Palatino Linotype" w:hAnsi="Palatino Linotype"/>
          <w:i/>
          <w:iCs/>
          <w:noProof/>
          <w:sz w:val="24"/>
          <w:szCs w:val="24"/>
        </w:rPr>
        <w:t>Mazahib</w:t>
      </w:r>
      <w:r w:rsidRPr="00663F62">
        <w:rPr>
          <w:rFonts w:ascii="Palatino Linotype" w:hAnsi="Palatino Linotype"/>
          <w:noProof/>
          <w:sz w:val="24"/>
          <w:szCs w:val="24"/>
        </w:rPr>
        <w:t>. https://doi.org/10.21093/mj.v24i1.9419</w:t>
      </w:r>
    </w:p>
    <w:p w14:paraId="642B1BD9"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Qurrata, V., Shafiai, M. H. M., Wahid, H., Almaamun, S., &amp; Ismail, A. G. (2025). Institutional Economics from Islamic Perspective: With Special Reference to Waqf. </w:t>
      </w:r>
      <w:r w:rsidRPr="00663F62">
        <w:rPr>
          <w:rFonts w:ascii="Palatino Linotype" w:hAnsi="Palatino Linotype"/>
          <w:i/>
          <w:iCs/>
          <w:noProof/>
          <w:sz w:val="24"/>
          <w:szCs w:val="24"/>
        </w:rPr>
        <w:t>SAGE Open</w:t>
      </w:r>
      <w:r w:rsidRPr="00663F62">
        <w:rPr>
          <w:rFonts w:ascii="Palatino Linotype" w:hAnsi="Palatino Linotype"/>
          <w:noProof/>
          <w:sz w:val="24"/>
          <w:szCs w:val="24"/>
        </w:rPr>
        <w:t xml:space="preserve">, </w:t>
      </w:r>
      <w:r w:rsidRPr="00663F62">
        <w:rPr>
          <w:rFonts w:ascii="Palatino Linotype" w:hAnsi="Palatino Linotype"/>
          <w:i/>
          <w:iCs/>
          <w:noProof/>
          <w:sz w:val="24"/>
          <w:szCs w:val="24"/>
        </w:rPr>
        <w:t>15</w:t>
      </w:r>
      <w:r w:rsidRPr="00663F62">
        <w:rPr>
          <w:rFonts w:ascii="Palatino Linotype" w:hAnsi="Palatino Linotype"/>
          <w:noProof/>
          <w:sz w:val="24"/>
          <w:szCs w:val="24"/>
        </w:rPr>
        <w:t>. https://doi.org/10.1177/21582440251397178</w:t>
      </w:r>
    </w:p>
    <w:p w14:paraId="64D84D5D"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Ridho, H., Sodiqin, A., &amp; Mujib, A. (2025). The Evolution of Islamic Philanthropy in Indonesia’s Digital Age (2016–2023). </w:t>
      </w:r>
      <w:r w:rsidRPr="00663F62">
        <w:rPr>
          <w:rFonts w:ascii="Palatino Linotype" w:hAnsi="Palatino Linotype"/>
          <w:i/>
          <w:iCs/>
          <w:noProof/>
          <w:sz w:val="24"/>
          <w:szCs w:val="24"/>
        </w:rPr>
        <w:t>Al-Ahkam</w:t>
      </w:r>
      <w:r w:rsidRPr="00663F62">
        <w:rPr>
          <w:rFonts w:ascii="Palatino Linotype" w:hAnsi="Palatino Linotype"/>
          <w:noProof/>
          <w:sz w:val="24"/>
          <w:szCs w:val="24"/>
        </w:rPr>
        <w:t>. https://doi.org/10.21580/ahkam.2025.35.1.23721</w:t>
      </w:r>
    </w:p>
    <w:p w14:paraId="591CDA73"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Rizal, R., Ghofur, R., &amp; Utami, P. (2023). The Role of Muslim Generation Community at Zakat Collection on Realizing Sustainable Development Goals (SDGs) in the Era of Digital Society 5.0. </w:t>
      </w:r>
      <w:r w:rsidRPr="00663F62">
        <w:rPr>
          <w:rFonts w:ascii="Palatino Linotype" w:hAnsi="Palatino Linotype"/>
          <w:i/>
          <w:iCs/>
          <w:noProof/>
          <w:sz w:val="24"/>
          <w:szCs w:val="24"/>
        </w:rPr>
        <w:t>JURIS (Jurnal Ilmiah Syariah)</w:t>
      </w:r>
      <w:r w:rsidRPr="00663F62">
        <w:rPr>
          <w:rFonts w:ascii="Palatino Linotype" w:hAnsi="Palatino Linotype"/>
          <w:noProof/>
          <w:sz w:val="24"/>
          <w:szCs w:val="24"/>
        </w:rPr>
        <w:t xml:space="preserve">. </w:t>
      </w:r>
      <w:r w:rsidRPr="00663F62">
        <w:rPr>
          <w:rFonts w:ascii="Palatino Linotype" w:hAnsi="Palatino Linotype"/>
          <w:noProof/>
          <w:sz w:val="24"/>
          <w:szCs w:val="24"/>
        </w:rPr>
        <w:lastRenderedPageBreak/>
        <w:t>https://doi.org/10.31958/juris.v22i1.6562</w:t>
      </w:r>
    </w:p>
    <w:p w14:paraId="42F55CAC"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Siddiq, A., Hariyanto, Maula, I., Meidina, A., &amp; Arafah, S. (2025). Reconstructing Waqf Share Policies: A Maqashid Sharia Approach with Insights from Indonesia. </w:t>
      </w:r>
      <w:r w:rsidRPr="00663F62">
        <w:rPr>
          <w:rFonts w:ascii="Palatino Linotype" w:hAnsi="Palatino Linotype"/>
          <w:i/>
          <w:iCs/>
          <w:noProof/>
          <w:sz w:val="24"/>
          <w:szCs w:val="24"/>
        </w:rPr>
        <w:t>El-Mashlahah</w:t>
      </w:r>
      <w:r w:rsidRPr="00663F62">
        <w:rPr>
          <w:rFonts w:ascii="Palatino Linotype" w:hAnsi="Palatino Linotype"/>
          <w:noProof/>
          <w:sz w:val="24"/>
          <w:szCs w:val="24"/>
        </w:rPr>
        <w:t>. https://doi.org/10.23971/el-mashlahah.v15i1.9029</w:t>
      </w:r>
    </w:p>
    <w:p w14:paraId="59F105BA"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Suryanto, A., Kusmayadi, D., Rafiqi, Y., Nasrulloh, A. A., &amp; Wijaya, T. (2025). Islamic Philanthropy and Social Welfare: Cash Waqf Policy Patterns as Social Funds for State Universities in Indonesia. </w:t>
      </w:r>
      <w:r w:rsidRPr="00663F62">
        <w:rPr>
          <w:rFonts w:ascii="Palatino Linotype" w:hAnsi="Palatino Linotype"/>
          <w:i/>
          <w:iCs/>
          <w:noProof/>
          <w:sz w:val="24"/>
          <w:szCs w:val="24"/>
        </w:rPr>
        <w:t>Journal of Posthumanism</w:t>
      </w:r>
      <w:r w:rsidRPr="00663F62">
        <w:rPr>
          <w:rFonts w:ascii="Palatino Linotype" w:hAnsi="Palatino Linotype"/>
          <w:noProof/>
          <w:sz w:val="24"/>
          <w:szCs w:val="24"/>
        </w:rPr>
        <w:t>. https://doi.org/10.63332/joph.v5i12.3815</w:t>
      </w:r>
    </w:p>
    <w:p w14:paraId="0E75A935"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Ulum, K. M., Ariyanti, S., Witro, D., &amp; Nasyi’ah, I. (2025). INTEGRATION OF ISLAMIC PHILANTHROPY WITH FINANCIAL TECHNOLOGY: The Case Study of Waqf towards Sustainable Funding in Indonesia. </w:t>
      </w:r>
      <w:r w:rsidRPr="00663F62">
        <w:rPr>
          <w:rFonts w:ascii="Palatino Linotype" w:hAnsi="Palatino Linotype"/>
          <w:i/>
          <w:iCs/>
          <w:noProof/>
          <w:sz w:val="24"/>
          <w:szCs w:val="24"/>
        </w:rPr>
        <w:t>Jurisdictie: Jurnal Hukum Dan Syariah</w:t>
      </w:r>
      <w:r w:rsidRPr="00663F62">
        <w:rPr>
          <w:rFonts w:ascii="Palatino Linotype" w:hAnsi="Palatino Linotype"/>
          <w:noProof/>
          <w:sz w:val="24"/>
          <w:szCs w:val="24"/>
        </w:rPr>
        <w:t>. https://doi.org/10.18860/j.v16i1.30447</w:t>
      </w:r>
    </w:p>
    <w:p w14:paraId="52E91AAA"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Wardiyanto, B., Hariani, N., &amp; Soegiono, A. N. (2026). Faith‐Driven Alternative Social Financing: Governing Social Provision Through Islamic‐Based Communities in Indonesia. </w:t>
      </w:r>
      <w:r w:rsidRPr="00663F62">
        <w:rPr>
          <w:rFonts w:ascii="Palatino Linotype" w:hAnsi="Palatino Linotype"/>
          <w:i/>
          <w:iCs/>
          <w:noProof/>
          <w:sz w:val="24"/>
          <w:szCs w:val="24"/>
        </w:rPr>
        <w:t>Public Administration and Development</w:t>
      </w:r>
      <w:r w:rsidRPr="00663F62">
        <w:rPr>
          <w:rFonts w:ascii="Palatino Linotype" w:hAnsi="Palatino Linotype"/>
          <w:noProof/>
          <w:sz w:val="24"/>
          <w:szCs w:val="24"/>
        </w:rPr>
        <w:t>. https://doi.org/10.1002/pad.70075</w:t>
      </w:r>
    </w:p>
    <w:p w14:paraId="53B0BF60" w14:textId="77777777" w:rsidR="00663F62" w:rsidRPr="00663F62" w:rsidRDefault="00663F62" w:rsidP="00663F62">
      <w:pPr>
        <w:autoSpaceDE w:val="0"/>
        <w:autoSpaceDN w:val="0"/>
        <w:adjustRightInd w:val="0"/>
        <w:spacing w:line="240" w:lineRule="auto"/>
        <w:ind w:left="480" w:hanging="480"/>
        <w:jc w:val="both"/>
        <w:rPr>
          <w:rFonts w:ascii="Palatino Linotype" w:hAnsi="Palatino Linotype"/>
          <w:noProof/>
          <w:sz w:val="24"/>
          <w:szCs w:val="24"/>
        </w:rPr>
      </w:pPr>
      <w:r w:rsidRPr="00663F62">
        <w:rPr>
          <w:rFonts w:ascii="Palatino Linotype" w:hAnsi="Palatino Linotype"/>
          <w:noProof/>
          <w:sz w:val="24"/>
          <w:szCs w:val="24"/>
        </w:rPr>
        <w:t xml:space="preserve">Zawawi, Z., Yasin, Y., Helmy, M., Ma’yuf, A., &amp; Arwani, A. (2023). Waqf and sustainable development law: models of waqf institutions in the Kingdom of Saudi Arabia and Indonesia. </w:t>
      </w:r>
      <w:r w:rsidRPr="00663F62">
        <w:rPr>
          <w:rFonts w:ascii="Palatino Linotype" w:hAnsi="Palatino Linotype"/>
          <w:i/>
          <w:iCs/>
          <w:noProof/>
          <w:sz w:val="24"/>
          <w:szCs w:val="24"/>
        </w:rPr>
        <w:t>Ijtihad</w:t>
      </w:r>
      <w:r w:rsidRPr="00663F62">
        <w:rPr>
          <w:i/>
          <w:iCs/>
          <w:noProof/>
          <w:sz w:val="24"/>
          <w:szCs w:val="24"/>
        </w:rPr>
        <w:t> </w:t>
      </w:r>
      <w:r w:rsidRPr="00663F62">
        <w:rPr>
          <w:rFonts w:ascii="Palatino Linotype" w:hAnsi="Palatino Linotype"/>
          <w:i/>
          <w:iCs/>
          <w:noProof/>
          <w:sz w:val="24"/>
          <w:szCs w:val="24"/>
        </w:rPr>
        <w:t>: Jurnal Wacana Hukum Islam Dan Kemanusiaan</w:t>
      </w:r>
      <w:r w:rsidRPr="00663F62">
        <w:rPr>
          <w:rFonts w:ascii="Palatino Linotype" w:hAnsi="Palatino Linotype"/>
          <w:noProof/>
          <w:sz w:val="24"/>
          <w:szCs w:val="24"/>
        </w:rPr>
        <w:t>. https://doi.org/10.18326/ijtihad.v23i1.93-114</w:t>
      </w:r>
    </w:p>
    <w:p w14:paraId="6B184B80" w14:textId="0A5D9EC3" w:rsidR="00924DA3" w:rsidRPr="00663F62" w:rsidRDefault="00663F62" w:rsidP="00663F62">
      <w:pPr>
        <w:spacing w:line="216" w:lineRule="auto"/>
        <w:jc w:val="both"/>
        <w:rPr>
          <w:rFonts w:ascii="Palatino Linotype" w:hAnsi="Palatino Linotype" w:cs="Calibri Light"/>
          <w:sz w:val="24"/>
          <w:szCs w:val="24"/>
        </w:rPr>
      </w:pPr>
      <w:r w:rsidRPr="00663F62">
        <w:rPr>
          <w:rFonts w:ascii="Palatino Linotype" w:hAnsi="Palatino Linotype" w:cs="Calibri Light"/>
          <w:sz w:val="24"/>
          <w:szCs w:val="24"/>
        </w:rPr>
        <w:fldChar w:fldCharType="end"/>
      </w:r>
    </w:p>
    <w:sectPr w:rsidR="00924DA3" w:rsidRPr="00663F62" w:rsidSect="00BA39BB">
      <w:footerReference w:type="even" r:id="rId8"/>
      <w:footerReference w:type="default" r:id="rId9"/>
      <w:headerReference w:type="first" r:id="rId10"/>
      <w:footerReference w:type="first" r:id="rId11"/>
      <w:footnotePr>
        <w:numFmt w:val="chicago"/>
      </w:footnotePr>
      <w:pgSz w:w="11907" w:h="16840" w:code="9"/>
      <w:pgMar w:top="1134" w:right="1701" w:bottom="1701" w:left="1701" w:header="709" w:footer="475" w:gutter="0"/>
      <w:pgNumType w:start="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9E82A" w14:textId="77777777" w:rsidR="002112C7" w:rsidRDefault="002112C7" w:rsidP="001E05C6">
      <w:pPr>
        <w:spacing w:line="240" w:lineRule="auto"/>
      </w:pPr>
      <w:r>
        <w:separator/>
      </w:r>
    </w:p>
  </w:endnote>
  <w:endnote w:type="continuationSeparator" w:id="0">
    <w:p w14:paraId="3BDC0897" w14:textId="77777777" w:rsidR="002112C7" w:rsidRDefault="002112C7" w:rsidP="001E05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DDC68" w14:textId="77777777" w:rsidR="001E05C6" w:rsidRPr="00776019" w:rsidRDefault="001E05C6" w:rsidP="00F1729C">
    <w:pPr>
      <w:pStyle w:val="Header"/>
      <w:spacing w:after="0" w:line="240" w:lineRule="auto"/>
      <w:rPr>
        <w:rFonts w:ascii="Cambria Math" w:hAnsi="Cambria Math" w:cs="Calibri Light"/>
        <w:b/>
        <w:bCs/>
        <w:iCs/>
        <w:color w:val="275317" w:themeColor="accent6" w:themeShade="80"/>
        <w:sz w:val="16"/>
        <w:szCs w:val="16"/>
      </w:rPr>
    </w:pPr>
    <w:r w:rsidRPr="00776019">
      <w:rPr>
        <w:rFonts w:ascii="Cambria Math" w:hAnsi="Cambria Math" w:cs="Calibri Light"/>
        <w:sz w:val="20"/>
      </w:rPr>
      <mc:AlternateContent>
        <mc:Choice Requires="wps">
          <w:drawing>
            <wp:anchor distT="0" distB="0" distL="114300" distR="114300" simplePos="0" relativeHeight="251656704" behindDoc="0" locked="0" layoutInCell="1" allowOverlap="1" wp14:anchorId="700557BA" wp14:editId="18036738">
              <wp:simplePos x="0" y="0"/>
              <wp:positionH relativeFrom="column">
                <wp:posOffset>237656</wp:posOffset>
              </wp:positionH>
              <wp:positionV relativeFrom="paragraph">
                <wp:posOffset>0</wp:posOffset>
              </wp:positionV>
              <wp:extent cx="0" cy="290946"/>
              <wp:effectExtent l="0" t="0" r="38100" b="33020"/>
              <wp:wrapNone/>
              <wp:docPr id="4" name="Straight Connector 4"/>
              <wp:cNvGraphicFramePr/>
              <a:graphic xmlns:a="http://schemas.openxmlformats.org/drawingml/2006/main">
                <a:graphicData uri="http://schemas.microsoft.com/office/word/2010/wordprocessingShape">
                  <wps:wsp>
                    <wps:cNvCnPr/>
                    <wps:spPr>
                      <a:xfrm>
                        <a:off x="0" y="0"/>
                        <a:ext cx="0" cy="29094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45C144"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7pt,0" to="18.7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" strokecolor="black [3213]" strokeweight=".5pt">
              <v:stroke joinstyle="miter"/>
            </v:line>
          </w:pict>
        </mc:Fallback>
      </mc:AlternateContent>
    </w:r>
    <w:r w:rsidRPr="00776019">
      <w:rPr>
        <w:rFonts w:ascii="Cambria Math" w:hAnsi="Cambria Math" w:cs="Calibri Light"/>
        <w:sz w:val="20"/>
      </w:rPr>
      <w:fldChar w:fldCharType="begin"/>
    </w:r>
    <w:r w:rsidRPr="00776019">
      <w:rPr>
        <w:rFonts w:ascii="Cambria Math" w:hAnsi="Cambria Math" w:cs="Calibri Light"/>
        <w:sz w:val="20"/>
      </w:rPr>
      <w:instrText xml:space="preserve"> PAGE   \* MERGEFORMAT </w:instrText>
    </w:r>
    <w:r w:rsidRPr="00776019">
      <w:rPr>
        <w:rFonts w:ascii="Cambria Math" w:hAnsi="Cambria Math" w:cs="Calibri Light"/>
        <w:sz w:val="20"/>
      </w:rPr>
      <w:fldChar w:fldCharType="separate"/>
    </w:r>
    <w:r w:rsidRPr="00776019">
      <w:rPr>
        <w:rFonts w:ascii="Cambria Math" w:hAnsi="Cambria Math" w:cs="Calibri Light"/>
        <w:sz w:val="20"/>
      </w:rPr>
      <w:t>282</w:t>
    </w:r>
    <w:r w:rsidRPr="00776019">
      <w:rPr>
        <w:rFonts w:ascii="Cambria Math" w:hAnsi="Cambria Math" w:cs="Calibri Light"/>
        <w:sz w:val="20"/>
      </w:rPr>
      <w:fldChar w:fldCharType="end"/>
    </w:r>
    <w:r w:rsidRPr="00776019">
      <w:rPr>
        <w:rFonts w:ascii="Cambria Math" w:hAnsi="Cambria Math" w:cs="Calibri Light"/>
        <w:sz w:val="20"/>
      </w:rPr>
      <w:tab/>
    </w:r>
    <w:r w:rsidRPr="00776019">
      <w:rPr>
        <w:rFonts w:ascii="Cambria Math" w:hAnsi="Cambria Math" w:cs="Calibri Light"/>
        <w:sz w:val="22"/>
        <w:szCs w:val="22"/>
      </w:rPr>
      <w:t xml:space="preserve">                                                         </w:t>
    </w:r>
    <w:r w:rsidRPr="00776019">
      <w:rPr>
        <w:rFonts w:ascii="Cambria Math" w:hAnsi="Cambria Math" w:cs="Calibri Light"/>
        <w:b/>
        <w:bCs/>
        <w:iCs/>
        <w:color w:val="275317" w:themeColor="accent6" w:themeShade="80"/>
        <w:sz w:val="16"/>
        <w:szCs w:val="16"/>
      </w:rPr>
      <w:t xml:space="preserve">Arabica Edu: Journal of Arabic Language, Vol. 1  No. 1 (2026), p. </w:t>
    </w:r>
    <w:r>
      <w:rPr>
        <w:rFonts w:ascii="Cambria Math" w:hAnsi="Cambria Math" w:cs="Calibri Light"/>
        <w:b/>
        <w:bCs/>
        <w:iCs/>
        <w:color w:val="275317" w:themeColor="accent6" w:themeShade="80"/>
        <w:sz w:val="16"/>
        <w:szCs w:val="16"/>
      </w:rPr>
      <w:t>28</w:t>
    </w:r>
    <w:r w:rsidRPr="00776019">
      <w:rPr>
        <w:rFonts w:ascii="Cambria Math" w:hAnsi="Cambria Math" w:cs="Calibri Light"/>
        <w:b/>
        <w:bCs/>
        <w:iCs/>
        <w:color w:val="275317" w:themeColor="accent6" w:themeShade="80"/>
        <w:sz w:val="16"/>
        <w:szCs w:val="16"/>
      </w:rPr>
      <w:t>-</w:t>
    </w:r>
    <w:r>
      <w:rPr>
        <w:rFonts w:ascii="Cambria Math" w:hAnsi="Cambria Math" w:cs="Calibri Light"/>
        <w:b/>
        <w:bCs/>
        <w:iCs/>
        <w:color w:val="275317" w:themeColor="accent6" w:themeShade="80"/>
        <w:sz w:val="16"/>
        <w:szCs w:val="16"/>
      </w:rPr>
      <w:t>41</w:t>
    </w:r>
  </w:p>
  <w:p w14:paraId="76ED419E" w14:textId="77777777" w:rsidR="001E05C6" w:rsidRPr="00776019" w:rsidRDefault="001E05C6" w:rsidP="009674B9">
    <w:pPr>
      <w:pStyle w:val="Header"/>
      <w:jc w:val="right"/>
      <w:rPr>
        <w:rFonts w:ascii="Cambria Math" w:hAnsi="Cambria Math" w:cs="Calibri Light"/>
        <w:i/>
        <w:iCs/>
        <w:sz w:val="16"/>
        <w:szCs w:val="16"/>
      </w:rPr>
    </w:pPr>
    <w:r w:rsidRPr="00776019">
      <w:rPr>
        <w:rFonts w:ascii="Cambria Math" w:hAnsi="Cambria Math" w:cs="Calibri Light"/>
        <w:sz w:val="16"/>
        <w:szCs w:val="16"/>
      </w:rPr>
      <w:t xml:space="preserve">Available online at </w:t>
    </w:r>
    <w:r w:rsidRPr="009A53D5">
      <w:rPr>
        <w:rStyle w:val="Hyperlink"/>
        <w:rFonts w:ascii="Cambria Math" w:eastAsiaTheme="minorHAnsi" w:hAnsi="Cambria Math" w:cs="Calibri Light"/>
        <w:color w:val="3333FF"/>
        <w:szCs w:val="16"/>
      </w:rPr>
      <w:t>https://alqalaminstitute.or.id/index.php/arabica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B9181" w14:textId="53039E21" w:rsidR="001E05C6" w:rsidRPr="004C3D5E" w:rsidRDefault="001E05C6" w:rsidP="00226DF0">
    <w:pPr>
      <w:pStyle w:val="Footer"/>
      <w:tabs>
        <w:tab w:val="clear" w:pos="4706"/>
        <w:tab w:val="clear" w:pos="9356"/>
        <w:tab w:val="clear" w:pos="10080"/>
        <w:tab w:val="right" w:pos="8505"/>
      </w:tabs>
      <w:spacing w:before="0" w:line="240" w:lineRule="auto"/>
      <w:rPr>
        <w:rFonts w:ascii="Cambria Math" w:hAnsi="Cambria Math" w:cs="Calibri Light"/>
        <w:i w:val="0"/>
        <w:iCs/>
        <w:sz w:val="20"/>
      </w:rPr>
    </w:pPr>
    <w:r w:rsidRPr="001E05C6">
      <w:rPr>
        <w:rFonts w:ascii="Cambria Math" w:hAnsi="Cambria Math" w:cs="Calibri Light"/>
        <w:b/>
        <w:bCs/>
        <w:i w:val="0"/>
        <w:color w:val="BF4E14" w:themeColor="accent2" w:themeShade="BF"/>
        <w:sz w:val="16"/>
        <w:szCs w:val="16"/>
      </w:rPr>
      <mc:AlternateContent>
        <mc:Choice Requires="wps">
          <w:drawing>
            <wp:anchor distT="0" distB="0" distL="114300" distR="114300" simplePos="0" relativeHeight="251657728" behindDoc="0" locked="0" layoutInCell="1" allowOverlap="1" wp14:anchorId="31EE4172" wp14:editId="1C517E78">
              <wp:simplePos x="0" y="0"/>
              <wp:positionH relativeFrom="column">
                <wp:posOffset>5153191</wp:posOffset>
              </wp:positionH>
              <wp:positionV relativeFrom="paragraph">
                <wp:posOffset>-1905</wp:posOffset>
              </wp:positionV>
              <wp:extent cx="0" cy="290830"/>
              <wp:effectExtent l="0" t="0" r="38100" b="33020"/>
              <wp:wrapNone/>
              <wp:docPr id="5" name="Straight Connector 5"/>
              <wp:cNvGraphicFramePr/>
              <a:graphic xmlns:a="http://schemas.openxmlformats.org/drawingml/2006/main">
                <a:graphicData uri="http://schemas.microsoft.com/office/word/2010/wordprocessingShape">
                  <wps:wsp>
                    <wps:cNvCnPr/>
                    <wps:spPr>
                      <a:xfrm>
                        <a:off x="0" y="0"/>
                        <a:ext cx="0" cy="2908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EDD56E"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05.75pt,-.15pt" to="405.7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" strokecolor="black [3213]" strokeweight=".5pt">
              <v:stroke joinstyle="miter"/>
            </v:line>
          </w:pict>
        </mc:Fallback>
      </mc:AlternateContent>
    </w:r>
    <w:r w:rsidR="00FE247A" w:rsidRPr="00FE247A">
      <w:rPr>
        <w:rFonts w:ascii="Cambria Math" w:hAnsi="Cambria Math" w:cs="Calibri Light"/>
        <w:b/>
        <w:bCs/>
        <w:i w:val="0"/>
        <w:color w:val="BF4E14" w:themeColor="accent2" w:themeShade="BF"/>
        <w:sz w:val="16"/>
        <w:szCs w:val="16"/>
      </w:rPr>
      <w:t>Islamic Legal Insight Journal</w:t>
    </w:r>
    <w:r w:rsidRPr="001E05C6">
      <w:rPr>
        <w:rFonts w:ascii="Cambria Math" w:hAnsi="Cambria Math" w:cs="Calibri Light"/>
        <w:b/>
        <w:bCs/>
        <w:i w:val="0"/>
        <w:color w:val="BF4E14" w:themeColor="accent2" w:themeShade="BF"/>
        <w:sz w:val="16"/>
        <w:szCs w:val="16"/>
      </w:rPr>
      <w:t xml:space="preserve">, Vol. 1  No. 1 (2026), p. </w:t>
    </w:r>
    <w:r w:rsidR="00BA39BB">
      <w:rPr>
        <w:rFonts w:ascii="Cambria Math" w:hAnsi="Cambria Math" w:cs="Calibri Light"/>
        <w:b/>
        <w:bCs/>
        <w:i w:val="0"/>
        <w:color w:val="BF4E14" w:themeColor="accent2" w:themeShade="BF"/>
        <w:sz w:val="16"/>
        <w:szCs w:val="16"/>
      </w:rPr>
      <w:t>15</w:t>
    </w:r>
    <w:r w:rsidRPr="001E05C6">
      <w:rPr>
        <w:rFonts w:ascii="Cambria Math" w:hAnsi="Cambria Math" w:cs="Calibri Light"/>
        <w:b/>
        <w:bCs/>
        <w:i w:val="0"/>
        <w:color w:val="BF4E14" w:themeColor="accent2" w:themeShade="BF"/>
        <w:sz w:val="16"/>
        <w:szCs w:val="16"/>
      </w:rPr>
      <w:t>-</w:t>
    </w:r>
    <w:r w:rsidR="00BA39BB">
      <w:rPr>
        <w:rFonts w:ascii="Cambria Math" w:hAnsi="Cambria Math" w:cs="Calibri Light"/>
        <w:b/>
        <w:bCs/>
        <w:i w:val="0"/>
        <w:color w:val="BF4E14" w:themeColor="accent2" w:themeShade="BF"/>
        <w:sz w:val="16"/>
        <w:szCs w:val="16"/>
      </w:rPr>
      <w:t>30</w:t>
    </w:r>
    <w:r w:rsidRPr="004C3D5E">
      <w:rPr>
        <w:rFonts w:ascii="Cambria Math" w:hAnsi="Cambria Math" w:cs="Calibri Light"/>
        <w:iCs/>
        <w:sz w:val="16"/>
        <w:szCs w:val="16"/>
      </w:rPr>
      <w:tab/>
      <w:t xml:space="preserve">  </w:t>
    </w:r>
    <w:r w:rsidRPr="004C3D5E">
      <w:rPr>
        <w:rFonts w:ascii="Cambria Math" w:hAnsi="Cambria Math" w:cs="Calibri Light"/>
        <w:i w:val="0"/>
        <w:iCs/>
        <w:sz w:val="20"/>
      </w:rPr>
      <w:fldChar w:fldCharType="begin"/>
    </w:r>
    <w:r w:rsidRPr="004C3D5E">
      <w:rPr>
        <w:rFonts w:ascii="Cambria Math" w:hAnsi="Cambria Math" w:cs="Calibri Light"/>
        <w:i w:val="0"/>
        <w:iCs/>
        <w:sz w:val="20"/>
      </w:rPr>
      <w:instrText xml:space="preserve"> PAGE   \* MERGEFORMAT </w:instrText>
    </w:r>
    <w:r w:rsidRPr="004C3D5E">
      <w:rPr>
        <w:rFonts w:ascii="Cambria Math" w:hAnsi="Cambria Math" w:cs="Calibri Light"/>
        <w:i w:val="0"/>
        <w:iCs/>
        <w:sz w:val="20"/>
      </w:rPr>
      <w:fldChar w:fldCharType="separate"/>
    </w:r>
    <w:r w:rsidRPr="004C3D5E">
      <w:rPr>
        <w:rFonts w:ascii="Cambria Math" w:hAnsi="Cambria Math" w:cs="Calibri Light"/>
        <w:i w:val="0"/>
        <w:iCs/>
        <w:sz w:val="20"/>
      </w:rPr>
      <w:t>281</w:t>
    </w:r>
    <w:r w:rsidRPr="004C3D5E">
      <w:rPr>
        <w:rFonts w:ascii="Cambria Math" w:hAnsi="Cambria Math" w:cs="Calibri Light"/>
        <w:i w:val="0"/>
        <w:iCs/>
        <w:sz w:val="20"/>
      </w:rPr>
      <w:fldChar w:fldCharType="end"/>
    </w:r>
  </w:p>
  <w:p w14:paraId="4C29EA9D" w14:textId="3204C1E2" w:rsidR="001E05C6" w:rsidRPr="004C3D5E" w:rsidRDefault="001E05C6" w:rsidP="009674B9">
    <w:pPr>
      <w:pStyle w:val="Footer"/>
      <w:tabs>
        <w:tab w:val="clear" w:pos="4706"/>
        <w:tab w:val="clear" w:pos="9356"/>
        <w:tab w:val="clear" w:pos="10080"/>
      </w:tabs>
      <w:spacing w:before="0" w:line="240" w:lineRule="auto"/>
      <w:rPr>
        <w:rFonts w:ascii="Cambria Math" w:hAnsi="Cambria Math" w:cs="Calibri Light"/>
        <w:i w:val="0"/>
        <w:iCs/>
        <w:sz w:val="16"/>
        <w:szCs w:val="16"/>
      </w:rPr>
    </w:pPr>
    <w:r w:rsidRPr="004C3D5E">
      <w:rPr>
        <w:rFonts w:ascii="Cambria Math" w:hAnsi="Cambria Math" w:cs="Calibri Light"/>
        <w:i w:val="0"/>
        <w:iCs/>
        <w:sz w:val="16"/>
        <w:szCs w:val="16"/>
      </w:rPr>
      <w:t xml:space="preserve">Available online at </w:t>
    </w:r>
    <w:r w:rsidR="00FE247A" w:rsidRPr="00FE247A">
      <w:rPr>
        <w:rStyle w:val="Hyperlink"/>
        <w:rFonts w:ascii="Cambria Math" w:eastAsiaTheme="minorHAnsi" w:hAnsi="Cambria Math" w:cs="Calibri Light"/>
        <w:i w:val="0"/>
        <w:iCs/>
        <w:color w:val="3333FF"/>
        <w:szCs w:val="16"/>
      </w:rPr>
      <w:t>https://cendikianusantara.com/index.php/ilij</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17414" w14:textId="7F17629F" w:rsidR="001E05C6" w:rsidRPr="00FE247A" w:rsidRDefault="00FE247A" w:rsidP="00532659">
    <w:pPr>
      <w:pStyle w:val="Footer"/>
      <w:tabs>
        <w:tab w:val="clear" w:pos="4706"/>
      </w:tabs>
      <w:spacing w:before="0" w:line="240" w:lineRule="auto"/>
      <w:jc w:val="center"/>
      <w:rPr>
        <w:rFonts w:ascii="Cambria Math" w:hAnsi="Cambria Math" w:cs="Calibri Light"/>
        <w:b/>
        <w:bCs/>
        <w:i w:val="0"/>
        <w:iCs/>
        <w:color w:val="0000EE"/>
        <w:sz w:val="16"/>
        <w:szCs w:val="16"/>
      </w:rPr>
    </w:pPr>
    <w:r w:rsidRPr="00FE247A">
      <w:rPr>
        <w:rFonts w:ascii="Cambria Math" w:hAnsi="Cambria Math" w:cs="Calibri Light"/>
        <w:b/>
        <w:bCs/>
        <w:i w:val="0"/>
        <w:iCs/>
        <w:color w:val="0000EE"/>
        <w:sz w:val="16"/>
        <w:szCs w:val="16"/>
      </w:rPr>
      <w:t xml:space="preserve">Islamic Legal Insight Journal </w:t>
    </w:r>
  </w:p>
  <w:p w14:paraId="390ED864" w14:textId="77777777" w:rsidR="001E05C6" w:rsidRPr="00FE247A" w:rsidRDefault="001E05C6" w:rsidP="00532659">
    <w:pPr>
      <w:pStyle w:val="Footer"/>
      <w:tabs>
        <w:tab w:val="clear" w:pos="4706"/>
      </w:tabs>
      <w:spacing w:before="0" w:line="240" w:lineRule="auto"/>
      <w:jc w:val="center"/>
      <w:rPr>
        <w:rFonts w:ascii="Cambria Math" w:hAnsi="Cambria Math" w:cs="Calibri Light"/>
        <w:b/>
        <w:bCs/>
        <w:i w:val="0"/>
        <w:iCs/>
        <w:color w:val="000000" w:themeColor="text1"/>
        <w:sz w:val="16"/>
        <w:szCs w:val="16"/>
      </w:rPr>
    </w:pPr>
    <w:r w:rsidRPr="00FE247A">
      <w:rPr>
        <w:rFonts w:ascii="Cambria Math" w:hAnsi="Cambria Math" w:cs="Calibri Light"/>
        <w:i w:val="0"/>
        <w:iCs/>
        <w:color w:val="000000" w:themeColor="text1"/>
        <w:sz w:val="16"/>
        <w:szCs w:val="16"/>
      </w:rPr>
      <w:t>This journal is an open-access article under a CC BY-NC-SA 4.0 license. © 2025, the author(s)</w:t>
    </w:r>
  </w:p>
  <w:p w14:paraId="099045DB" w14:textId="77777777" w:rsidR="001E05C6" w:rsidRPr="00EB025A" w:rsidRDefault="001E05C6">
    <w:pPr>
      <w:pStyle w:val="Footer"/>
      <w:rPr>
        <w:rFonts w:ascii="Calibri Light" w:hAnsi="Calibri Light" w:cs="Calibri Light"/>
        <w:i w:val="0"/>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8488B" w14:textId="77777777" w:rsidR="002112C7" w:rsidRDefault="002112C7" w:rsidP="001E05C6">
      <w:pPr>
        <w:spacing w:line="240" w:lineRule="auto"/>
      </w:pPr>
      <w:r>
        <w:separator/>
      </w:r>
    </w:p>
  </w:footnote>
  <w:footnote w:type="continuationSeparator" w:id="0">
    <w:p w14:paraId="5ADAFDB8" w14:textId="77777777" w:rsidR="002112C7" w:rsidRDefault="002112C7" w:rsidP="001E05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D8314" w14:textId="1D8CF5BE" w:rsidR="001E05C6" w:rsidRPr="00D310BC" w:rsidRDefault="001E05C6" w:rsidP="00A55CEB">
    <w:pPr>
      <w:pStyle w:val="Heading2"/>
      <w:shd w:val="clear" w:color="auto" w:fill="FFFFFF"/>
      <w:spacing w:before="0" w:after="0"/>
      <w:ind w:right="240"/>
      <w:rPr>
        <w:rFonts w:ascii="Palatino Linotype" w:hAnsi="Palatino Linotype" w:cs="Calibri Light"/>
        <w:b/>
        <w:bCs/>
        <w:i/>
        <w:iCs/>
        <w:color w:val="C00000"/>
      </w:rPr>
    </w:pPr>
    <w:r w:rsidRPr="00D310BC">
      <w:rPr>
        <w:rFonts w:ascii="Palatino Linotype" w:hAnsi="Palatino Linotype"/>
        <w:b/>
        <w:bCs/>
        <w:noProof/>
        <w:color w:val="C00000"/>
        <w:sz w:val="36"/>
        <w:szCs w:val="36"/>
      </w:rPr>
      <w:drawing>
        <wp:anchor distT="0" distB="0" distL="114300" distR="114300" simplePos="0" relativeHeight="251658752" behindDoc="0" locked="0" layoutInCell="1" allowOverlap="1" wp14:anchorId="77119B75" wp14:editId="10C12988">
          <wp:simplePos x="0" y="0"/>
          <wp:positionH relativeFrom="margin">
            <wp:posOffset>5226587</wp:posOffset>
          </wp:positionH>
          <wp:positionV relativeFrom="paragraph">
            <wp:posOffset>-10208</wp:posOffset>
          </wp:positionV>
          <wp:extent cx="325967" cy="488950"/>
          <wp:effectExtent l="0" t="0" r="0" b="6350"/>
          <wp:wrapNone/>
          <wp:docPr id="14304102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410258" name="Picture 2"/>
                  <pic:cNvPicPr>
                    <a:picLocks noChangeAspect="1" noChangeArrowheads="1"/>
                  </pic:cNvPicPr>
                </pic:nvPicPr>
                <pic:blipFill>
                  <a:blip r:embed="rId1"/>
                  <a:stretch>
                    <a:fillRect/>
                  </a:stretch>
                </pic:blipFill>
                <pic:spPr bwMode="auto">
                  <a:xfrm>
                    <a:off x="0" y="0"/>
                    <a:ext cx="325967" cy="488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247A" w:rsidRPr="00FE247A">
      <w:rPr>
        <w:rFonts w:ascii="Palatino Linotype" w:hAnsi="Palatino Linotype"/>
        <w:b/>
        <w:bCs/>
        <w:noProof/>
        <w:color w:val="C00000"/>
        <w:sz w:val="36"/>
        <w:szCs w:val="36"/>
      </w:rPr>
      <w:t>Islamic Legal Insight Journal</w:t>
    </w:r>
  </w:p>
  <w:p w14:paraId="6D4A8D06" w14:textId="515A14AC" w:rsidR="001E05C6" w:rsidRPr="00D310BC" w:rsidRDefault="001E05C6" w:rsidP="0000434C">
    <w:pPr>
      <w:pStyle w:val="Header"/>
      <w:spacing w:after="0" w:line="240" w:lineRule="auto"/>
      <w:rPr>
        <w:rFonts w:ascii="Palatino Linotype" w:hAnsi="Palatino Linotype" w:cs="Calibri Light"/>
        <w:color w:val="EE0000"/>
        <w:sz w:val="22"/>
        <w:szCs w:val="22"/>
      </w:rPr>
    </w:pPr>
    <w:r w:rsidRPr="00D310BC">
      <w:rPr>
        <w:rFonts w:ascii="Palatino Linotype" w:hAnsi="Palatino Linotype" w:cs="Calibri Light"/>
        <w:color w:val="EE0000"/>
        <w:sz w:val="22"/>
        <w:szCs w:val="22"/>
      </w:rPr>
      <w:t xml:space="preserve">Vol. 1  No. 1 (2026), p. </w:t>
    </w:r>
    <w:r w:rsidR="007D62CC">
      <w:rPr>
        <w:rFonts w:ascii="Palatino Linotype" w:hAnsi="Palatino Linotype" w:cs="Calibri Light"/>
        <w:color w:val="EE0000"/>
        <w:sz w:val="22"/>
        <w:szCs w:val="22"/>
      </w:rPr>
      <w:t>1</w:t>
    </w:r>
    <w:r w:rsidR="00BA39BB">
      <w:rPr>
        <w:rFonts w:ascii="Palatino Linotype" w:hAnsi="Palatino Linotype" w:cs="Calibri Light"/>
        <w:color w:val="EE0000"/>
        <w:sz w:val="22"/>
        <w:szCs w:val="22"/>
      </w:rPr>
      <w:t>5</w:t>
    </w:r>
    <w:r w:rsidRPr="00D310BC">
      <w:rPr>
        <w:rFonts w:ascii="Palatino Linotype" w:hAnsi="Palatino Linotype" w:cs="Calibri Light"/>
        <w:color w:val="EE0000"/>
        <w:sz w:val="22"/>
        <w:szCs w:val="22"/>
      </w:rPr>
      <w:t>-</w:t>
    </w:r>
    <w:r w:rsidR="00BA39BB">
      <w:rPr>
        <w:rFonts w:ascii="Palatino Linotype" w:hAnsi="Palatino Linotype" w:cs="Calibri Light"/>
        <w:color w:val="EE0000"/>
        <w:sz w:val="22"/>
        <w:szCs w:val="22"/>
      </w:rPr>
      <w:t>30</w:t>
    </w:r>
  </w:p>
  <w:p w14:paraId="60111BA2" w14:textId="70930BBE" w:rsidR="001E05C6" w:rsidRPr="00A55CEB" w:rsidRDefault="001E05C6" w:rsidP="009A53D5">
    <w:pPr>
      <w:pStyle w:val="Header"/>
      <w:spacing w:after="0" w:line="240" w:lineRule="auto"/>
      <w:rPr>
        <w:rFonts w:ascii="Palatino Linotype" w:hAnsi="Palatino Linotype"/>
        <w:b/>
        <w:sz w:val="18"/>
        <w:szCs w:val="18"/>
      </w:rPr>
    </w:pPr>
    <w:r w:rsidRPr="00A55CEB">
      <w:rPr>
        <w:rFonts w:ascii="Palatino Linotype" w:eastAsia="Times New Roman" w:hAnsi="Palatino Linotype" w:cs="Calibri Light"/>
        <w:noProof w:val="0"/>
        <w:color w:val="000000" w:themeColor="text1"/>
        <w:sz w:val="22"/>
        <w:szCs w:val="22"/>
      </w:rPr>
      <w:t>Available online at</w:t>
    </w:r>
    <w:r w:rsidRPr="00A55CEB">
      <w:rPr>
        <w:rFonts w:ascii="Palatino Linotype" w:hAnsi="Palatino Linotype" w:cs="Calibri Light"/>
        <w:color w:val="000000" w:themeColor="text1"/>
        <w:sz w:val="18"/>
        <w:szCs w:val="24"/>
      </w:rPr>
      <w:t xml:space="preserve"> </w:t>
    </w:r>
    <w:r w:rsidR="00FE247A" w:rsidRPr="00FE247A">
      <w:rPr>
        <w:rFonts w:ascii="Palatino Linotype" w:hAnsi="Palatino Linotype" w:cs="Calibri Light"/>
        <w:color w:val="3333FF"/>
        <w:sz w:val="22"/>
        <w:szCs w:val="28"/>
      </w:rPr>
      <w:t>https://cendikianusantara.com/index.php/ilij</w:t>
    </w:r>
  </w:p>
  <w:p w14:paraId="0B5E0AD1" w14:textId="77777777" w:rsidR="001E05C6" w:rsidRDefault="001E05C6" w:rsidP="00F027DD">
    <w:pPr>
      <w:pStyle w:val="Header"/>
      <w:spacing w:after="0" w:line="240" w:lineRule="auto"/>
      <w:jc w:val="center"/>
      <w:rPr>
        <w:rStyle w:val="Hyperlink"/>
        <w:rFonts w:ascii="Book Antiqua" w:hAnsi="Book Antiqua"/>
        <w:szCs w:val="16"/>
      </w:rPr>
    </w:pPr>
  </w:p>
  <w:p w14:paraId="31D1BC28" w14:textId="77777777" w:rsidR="001E05C6" w:rsidRPr="00F027DD" w:rsidRDefault="001E05C6" w:rsidP="00F027DD">
    <w:pPr>
      <w:pStyle w:val="Header"/>
      <w:spacing w:after="0" w:line="240" w:lineRule="auto"/>
      <w:jc w:val="center"/>
      <w:rPr>
        <w:rStyle w:val="Hyperlink"/>
        <w:rFonts w:ascii="Book Antiqua" w:hAnsi="Book Antiqua"/>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5C6"/>
    <w:rsid w:val="000562BB"/>
    <w:rsid w:val="00087A0E"/>
    <w:rsid w:val="000B3904"/>
    <w:rsid w:val="000B5E49"/>
    <w:rsid w:val="000B673A"/>
    <w:rsid w:val="001663C5"/>
    <w:rsid w:val="00184D99"/>
    <w:rsid w:val="001E05C6"/>
    <w:rsid w:val="001F5540"/>
    <w:rsid w:val="002112C7"/>
    <w:rsid w:val="003A459B"/>
    <w:rsid w:val="003F25A7"/>
    <w:rsid w:val="00431D89"/>
    <w:rsid w:val="004626C5"/>
    <w:rsid w:val="004A3649"/>
    <w:rsid w:val="004E0E1D"/>
    <w:rsid w:val="0054144C"/>
    <w:rsid w:val="00576F51"/>
    <w:rsid w:val="005C3261"/>
    <w:rsid w:val="005C5D61"/>
    <w:rsid w:val="0062043C"/>
    <w:rsid w:val="00663F62"/>
    <w:rsid w:val="0074288E"/>
    <w:rsid w:val="007A2A23"/>
    <w:rsid w:val="007B2923"/>
    <w:rsid w:val="007C3E90"/>
    <w:rsid w:val="007D62CC"/>
    <w:rsid w:val="007E4389"/>
    <w:rsid w:val="00804662"/>
    <w:rsid w:val="00814BD5"/>
    <w:rsid w:val="008B11EF"/>
    <w:rsid w:val="00924DA3"/>
    <w:rsid w:val="00926E9B"/>
    <w:rsid w:val="00975C76"/>
    <w:rsid w:val="009B0097"/>
    <w:rsid w:val="009F114E"/>
    <w:rsid w:val="00A55CEB"/>
    <w:rsid w:val="00A7449C"/>
    <w:rsid w:val="00B66C79"/>
    <w:rsid w:val="00BA39BB"/>
    <w:rsid w:val="00BB5358"/>
    <w:rsid w:val="00BC3451"/>
    <w:rsid w:val="00BC3DB7"/>
    <w:rsid w:val="00BF4C01"/>
    <w:rsid w:val="00C234E4"/>
    <w:rsid w:val="00CF75FE"/>
    <w:rsid w:val="00D173C1"/>
    <w:rsid w:val="00D310BC"/>
    <w:rsid w:val="00E53C42"/>
    <w:rsid w:val="00E977A7"/>
    <w:rsid w:val="00F31BFD"/>
    <w:rsid w:val="00FE247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2D342"/>
  <w15:chartTrackingRefBased/>
  <w15:docId w15:val="{3619D8A9-E709-44A5-BD27-901BF6B14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5C6"/>
    <w:pPr>
      <w:widowControl w:val="0"/>
      <w:spacing w:after="0" w:line="230" w:lineRule="exact"/>
    </w:pPr>
    <w:rPr>
      <w:rFonts w:ascii="Times New Roman" w:eastAsia="SimSun" w:hAnsi="Times New Roman" w:cs="Times New Roman"/>
      <w:kern w:val="0"/>
      <w:sz w:val="16"/>
      <w:szCs w:val="20"/>
      <w:lang w:val="en-GB"/>
      <w14:ligatures w14:val="none"/>
    </w:rPr>
  </w:style>
  <w:style w:type="paragraph" w:styleId="Heading1">
    <w:name w:val="heading 1"/>
    <w:basedOn w:val="Normal"/>
    <w:next w:val="Normal"/>
    <w:link w:val="Heading1Char"/>
    <w:uiPriority w:val="9"/>
    <w:qFormat/>
    <w:rsid w:val="001E05C6"/>
    <w:pPr>
      <w:keepNext/>
      <w:keepLines/>
      <w:widowControl/>
      <w:spacing w:before="360" w:after="80" w:line="259" w:lineRule="auto"/>
      <w:outlineLvl w:val="0"/>
    </w:pPr>
    <w:rPr>
      <w:rFonts w:asciiTheme="majorHAnsi" w:eastAsiaTheme="majorEastAsia" w:hAnsiTheme="majorHAnsi" w:cstheme="majorBidi"/>
      <w:color w:val="0F4761" w:themeColor="accent1" w:themeShade="BF"/>
      <w:kern w:val="2"/>
      <w:sz w:val="40"/>
      <w:szCs w:val="40"/>
      <w:lang w:val="en-ID"/>
      <w14:ligatures w14:val="standardContextual"/>
    </w:rPr>
  </w:style>
  <w:style w:type="paragraph" w:styleId="Heading2">
    <w:name w:val="heading 2"/>
    <w:basedOn w:val="Normal"/>
    <w:next w:val="Normal"/>
    <w:link w:val="Heading2Char"/>
    <w:uiPriority w:val="99"/>
    <w:unhideWhenUsed/>
    <w:qFormat/>
    <w:rsid w:val="001E05C6"/>
    <w:pPr>
      <w:keepNext/>
      <w:keepLines/>
      <w:widowControl/>
      <w:spacing w:before="160" w:after="80" w:line="259" w:lineRule="auto"/>
      <w:outlineLvl w:val="1"/>
    </w:pPr>
    <w:rPr>
      <w:rFonts w:asciiTheme="majorHAnsi" w:eastAsiaTheme="majorEastAsia" w:hAnsiTheme="majorHAnsi" w:cstheme="majorBidi"/>
      <w:color w:val="0F4761" w:themeColor="accent1" w:themeShade="BF"/>
      <w:kern w:val="2"/>
      <w:sz w:val="32"/>
      <w:szCs w:val="32"/>
      <w:lang w:val="en-ID"/>
      <w14:ligatures w14:val="standardContextual"/>
    </w:rPr>
  </w:style>
  <w:style w:type="paragraph" w:styleId="Heading3">
    <w:name w:val="heading 3"/>
    <w:basedOn w:val="Normal"/>
    <w:next w:val="Normal"/>
    <w:link w:val="Heading3Char"/>
    <w:uiPriority w:val="9"/>
    <w:semiHidden/>
    <w:unhideWhenUsed/>
    <w:qFormat/>
    <w:rsid w:val="001E05C6"/>
    <w:pPr>
      <w:keepNext/>
      <w:keepLines/>
      <w:widowControl/>
      <w:spacing w:before="160" w:after="80" w:line="259" w:lineRule="auto"/>
      <w:outlineLvl w:val="2"/>
    </w:pPr>
    <w:rPr>
      <w:rFonts w:asciiTheme="minorHAnsi" w:eastAsiaTheme="majorEastAsia" w:hAnsiTheme="minorHAnsi" w:cstheme="majorBidi"/>
      <w:color w:val="0F4761" w:themeColor="accent1" w:themeShade="BF"/>
      <w:kern w:val="2"/>
      <w:sz w:val="28"/>
      <w:szCs w:val="28"/>
      <w:lang w:val="en-ID"/>
      <w14:ligatures w14:val="standardContextual"/>
    </w:rPr>
  </w:style>
  <w:style w:type="paragraph" w:styleId="Heading4">
    <w:name w:val="heading 4"/>
    <w:basedOn w:val="Normal"/>
    <w:next w:val="Normal"/>
    <w:link w:val="Heading4Char"/>
    <w:uiPriority w:val="9"/>
    <w:semiHidden/>
    <w:unhideWhenUsed/>
    <w:qFormat/>
    <w:rsid w:val="001E05C6"/>
    <w:pPr>
      <w:keepNext/>
      <w:keepLines/>
      <w:widowControl/>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ID"/>
      <w14:ligatures w14:val="standardContextual"/>
    </w:rPr>
  </w:style>
  <w:style w:type="paragraph" w:styleId="Heading5">
    <w:name w:val="heading 5"/>
    <w:basedOn w:val="Normal"/>
    <w:next w:val="Normal"/>
    <w:link w:val="Heading5Char"/>
    <w:uiPriority w:val="9"/>
    <w:semiHidden/>
    <w:unhideWhenUsed/>
    <w:qFormat/>
    <w:rsid w:val="001E05C6"/>
    <w:pPr>
      <w:keepNext/>
      <w:keepLines/>
      <w:widowControl/>
      <w:spacing w:before="80" w:after="40" w:line="259" w:lineRule="auto"/>
      <w:outlineLvl w:val="4"/>
    </w:pPr>
    <w:rPr>
      <w:rFonts w:asciiTheme="minorHAnsi" w:eastAsiaTheme="majorEastAsia" w:hAnsiTheme="minorHAnsi" w:cstheme="majorBidi"/>
      <w:color w:val="0F4761" w:themeColor="accent1" w:themeShade="BF"/>
      <w:kern w:val="2"/>
      <w:sz w:val="22"/>
      <w:szCs w:val="22"/>
      <w:lang w:val="en-ID"/>
      <w14:ligatures w14:val="standardContextual"/>
    </w:rPr>
  </w:style>
  <w:style w:type="paragraph" w:styleId="Heading6">
    <w:name w:val="heading 6"/>
    <w:basedOn w:val="Normal"/>
    <w:next w:val="Normal"/>
    <w:link w:val="Heading6Char"/>
    <w:uiPriority w:val="9"/>
    <w:semiHidden/>
    <w:unhideWhenUsed/>
    <w:qFormat/>
    <w:rsid w:val="001E05C6"/>
    <w:pPr>
      <w:keepNext/>
      <w:keepLines/>
      <w:widowControl/>
      <w:spacing w:before="40" w:line="259" w:lineRule="auto"/>
      <w:outlineLvl w:val="5"/>
    </w:pPr>
    <w:rPr>
      <w:rFonts w:asciiTheme="minorHAnsi" w:eastAsiaTheme="majorEastAsia" w:hAnsiTheme="minorHAnsi" w:cstheme="majorBidi"/>
      <w:i/>
      <w:iCs/>
      <w:color w:val="595959" w:themeColor="text1" w:themeTint="A6"/>
      <w:kern w:val="2"/>
      <w:sz w:val="22"/>
      <w:szCs w:val="22"/>
      <w:lang w:val="en-ID"/>
      <w14:ligatures w14:val="standardContextual"/>
    </w:rPr>
  </w:style>
  <w:style w:type="paragraph" w:styleId="Heading7">
    <w:name w:val="heading 7"/>
    <w:basedOn w:val="Normal"/>
    <w:next w:val="Normal"/>
    <w:link w:val="Heading7Char"/>
    <w:uiPriority w:val="9"/>
    <w:semiHidden/>
    <w:unhideWhenUsed/>
    <w:qFormat/>
    <w:rsid w:val="001E05C6"/>
    <w:pPr>
      <w:keepNext/>
      <w:keepLines/>
      <w:widowControl/>
      <w:spacing w:before="40" w:line="259" w:lineRule="auto"/>
      <w:outlineLvl w:val="6"/>
    </w:pPr>
    <w:rPr>
      <w:rFonts w:asciiTheme="minorHAnsi" w:eastAsiaTheme="majorEastAsia" w:hAnsiTheme="minorHAnsi" w:cstheme="majorBidi"/>
      <w:color w:val="595959" w:themeColor="text1" w:themeTint="A6"/>
      <w:kern w:val="2"/>
      <w:sz w:val="22"/>
      <w:szCs w:val="22"/>
      <w:lang w:val="en-ID"/>
      <w14:ligatures w14:val="standardContextual"/>
    </w:rPr>
  </w:style>
  <w:style w:type="paragraph" w:styleId="Heading8">
    <w:name w:val="heading 8"/>
    <w:basedOn w:val="Normal"/>
    <w:next w:val="Normal"/>
    <w:link w:val="Heading8Char"/>
    <w:uiPriority w:val="9"/>
    <w:semiHidden/>
    <w:unhideWhenUsed/>
    <w:qFormat/>
    <w:rsid w:val="001E05C6"/>
    <w:pPr>
      <w:keepNext/>
      <w:keepLines/>
      <w:widowControl/>
      <w:spacing w:line="259" w:lineRule="auto"/>
      <w:outlineLvl w:val="7"/>
    </w:pPr>
    <w:rPr>
      <w:rFonts w:asciiTheme="minorHAnsi" w:eastAsiaTheme="majorEastAsia" w:hAnsiTheme="minorHAnsi" w:cstheme="majorBidi"/>
      <w:i/>
      <w:iCs/>
      <w:color w:val="272727" w:themeColor="text1" w:themeTint="D8"/>
      <w:kern w:val="2"/>
      <w:sz w:val="22"/>
      <w:szCs w:val="22"/>
      <w:lang w:val="en-ID"/>
      <w14:ligatures w14:val="standardContextual"/>
    </w:rPr>
  </w:style>
  <w:style w:type="paragraph" w:styleId="Heading9">
    <w:name w:val="heading 9"/>
    <w:basedOn w:val="Normal"/>
    <w:next w:val="Normal"/>
    <w:link w:val="Heading9Char"/>
    <w:uiPriority w:val="9"/>
    <w:semiHidden/>
    <w:unhideWhenUsed/>
    <w:qFormat/>
    <w:rsid w:val="001E05C6"/>
    <w:pPr>
      <w:keepNext/>
      <w:keepLines/>
      <w:widowControl/>
      <w:spacing w:line="259" w:lineRule="auto"/>
      <w:outlineLvl w:val="8"/>
    </w:pPr>
    <w:rPr>
      <w:rFonts w:asciiTheme="minorHAnsi" w:eastAsiaTheme="majorEastAsia" w:hAnsiTheme="minorHAnsi" w:cstheme="majorBidi"/>
      <w:color w:val="272727" w:themeColor="text1" w:themeTint="D8"/>
      <w:kern w:val="2"/>
      <w:sz w:val="22"/>
      <w:szCs w:val="22"/>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9"/>
    <w:rsid w:val="001E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05C6"/>
    <w:rPr>
      <w:rFonts w:eastAsiaTheme="majorEastAsia" w:cstheme="majorBidi"/>
      <w:color w:val="272727" w:themeColor="text1" w:themeTint="D8"/>
    </w:rPr>
  </w:style>
  <w:style w:type="paragraph" w:styleId="Title">
    <w:name w:val="Title"/>
    <w:basedOn w:val="Normal"/>
    <w:next w:val="Normal"/>
    <w:link w:val="TitleChar"/>
    <w:uiPriority w:val="10"/>
    <w:qFormat/>
    <w:rsid w:val="001E05C6"/>
    <w:pPr>
      <w:widowControl/>
      <w:spacing w:after="80" w:line="240" w:lineRule="auto"/>
      <w:contextualSpacing/>
    </w:pPr>
    <w:rPr>
      <w:rFonts w:asciiTheme="majorHAnsi" w:eastAsiaTheme="majorEastAsia" w:hAnsiTheme="majorHAnsi" w:cstheme="majorBidi"/>
      <w:spacing w:val="-10"/>
      <w:kern w:val="28"/>
      <w:sz w:val="56"/>
      <w:szCs w:val="56"/>
      <w:lang w:val="en-ID"/>
      <w14:ligatures w14:val="standardContextual"/>
    </w:rPr>
  </w:style>
  <w:style w:type="character" w:customStyle="1" w:styleId="TitleChar">
    <w:name w:val="Title Char"/>
    <w:basedOn w:val="DefaultParagraphFont"/>
    <w:link w:val="Title"/>
    <w:uiPriority w:val="10"/>
    <w:rsid w:val="001E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05C6"/>
    <w:pPr>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ID"/>
      <w14:ligatures w14:val="standardContextual"/>
    </w:rPr>
  </w:style>
  <w:style w:type="character" w:customStyle="1" w:styleId="SubtitleChar">
    <w:name w:val="Subtitle Char"/>
    <w:basedOn w:val="DefaultParagraphFont"/>
    <w:link w:val="Subtitle"/>
    <w:uiPriority w:val="11"/>
    <w:rsid w:val="001E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05C6"/>
    <w:pPr>
      <w:widowControl/>
      <w:spacing w:before="160" w:after="160" w:line="259" w:lineRule="auto"/>
      <w:jc w:val="center"/>
    </w:pPr>
    <w:rPr>
      <w:rFonts w:asciiTheme="minorHAnsi" w:eastAsiaTheme="minorHAnsi" w:hAnsiTheme="minorHAnsi" w:cstheme="minorBidi"/>
      <w:i/>
      <w:iCs/>
      <w:color w:val="404040" w:themeColor="text1" w:themeTint="BF"/>
      <w:kern w:val="2"/>
      <w:sz w:val="22"/>
      <w:szCs w:val="22"/>
      <w:lang w:val="en-ID"/>
      <w14:ligatures w14:val="standardContextual"/>
    </w:rPr>
  </w:style>
  <w:style w:type="character" w:customStyle="1" w:styleId="QuoteChar">
    <w:name w:val="Quote Char"/>
    <w:basedOn w:val="DefaultParagraphFont"/>
    <w:link w:val="Quote"/>
    <w:uiPriority w:val="29"/>
    <w:rsid w:val="001E05C6"/>
    <w:rPr>
      <w:i/>
      <w:iCs/>
      <w:color w:val="404040" w:themeColor="text1" w:themeTint="BF"/>
    </w:rPr>
  </w:style>
  <w:style w:type="paragraph" w:styleId="ListParagraph">
    <w:name w:val="List Paragraph"/>
    <w:basedOn w:val="Normal"/>
    <w:uiPriority w:val="34"/>
    <w:qFormat/>
    <w:rsid w:val="001E05C6"/>
    <w:pPr>
      <w:widowControl/>
      <w:spacing w:after="160" w:line="259" w:lineRule="auto"/>
      <w:ind w:left="720"/>
      <w:contextualSpacing/>
    </w:pPr>
    <w:rPr>
      <w:rFonts w:asciiTheme="minorHAnsi" w:eastAsiaTheme="minorHAnsi" w:hAnsiTheme="minorHAnsi" w:cstheme="minorBidi"/>
      <w:kern w:val="2"/>
      <w:sz w:val="22"/>
      <w:szCs w:val="22"/>
      <w:lang w:val="en-ID"/>
      <w14:ligatures w14:val="standardContextual"/>
    </w:rPr>
  </w:style>
  <w:style w:type="character" w:styleId="IntenseEmphasis">
    <w:name w:val="Intense Emphasis"/>
    <w:basedOn w:val="DefaultParagraphFont"/>
    <w:uiPriority w:val="21"/>
    <w:qFormat/>
    <w:rsid w:val="001E05C6"/>
    <w:rPr>
      <w:i/>
      <w:iCs/>
      <w:color w:val="0F4761" w:themeColor="accent1" w:themeShade="BF"/>
    </w:rPr>
  </w:style>
  <w:style w:type="paragraph" w:styleId="IntenseQuote">
    <w:name w:val="Intense Quote"/>
    <w:basedOn w:val="Normal"/>
    <w:next w:val="Normal"/>
    <w:link w:val="IntenseQuoteChar"/>
    <w:uiPriority w:val="30"/>
    <w:qFormat/>
    <w:rsid w:val="001E05C6"/>
    <w:pPr>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ID"/>
      <w14:ligatures w14:val="standardContextual"/>
    </w:rPr>
  </w:style>
  <w:style w:type="character" w:customStyle="1" w:styleId="IntenseQuoteChar">
    <w:name w:val="Intense Quote Char"/>
    <w:basedOn w:val="DefaultParagraphFont"/>
    <w:link w:val="IntenseQuote"/>
    <w:uiPriority w:val="30"/>
    <w:rsid w:val="001E05C6"/>
    <w:rPr>
      <w:i/>
      <w:iCs/>
      <w:color w:val="0F4761" w:themeColor="accent1" w:themeShade="BF"/>
    </w:rPr>
  </w:style>
  <w:style w:type="character" w:styleId="IntenseReference">
    <w:name w:val="Intense Reference"/>
    <w:basedOn w:val="DefaultParagraphFont"/>
    <w:uiPriority w:val="32"/>
    <w:qFormat/>
    <w:rsid w:val="001E05C6"/>
    <w:rPr>
      <w:b/>
      <w:bCs/>
      <w:smallCaps/>
      <w:color w:val="0F4761" w:themeColor="accent1" w:themeShade="BF"/>
      <w:spacing w:val="5"/>
    </w:rPr>
  </w:style>
  <w:style w:type="paragraph" w:styleId="Header">
    <w:name w:val="header"/>
    <w:aliases w:val="page-number"/>
    <w:basedOn w:val="Normal"/>
    <w:link w:val="HeaderChar"/>
    <w:uiPriority w:val="99"/>
    <w:rsid w:val="001E05C6"/>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rsid w:val="001E05C6"/>
    <w:rPr>
      <w:rFonts w:ascii="Times New Roman" w:eastAsia="SimSun" w:hAnsi="Times New Roman" w:cs="Times New Roman"/>
      <w:noProof/>
      <w:kern w:val="0"/>
      <w:sz w:val="14"/>
      <w:szCs w:val="20"/>
      <w:lang w:val="en-US"/>
      <w14:ligatures w14:val="none"/>
    </w:rPr>
  </w:style>
  <w:style w:type="paragraph" w:styleId="Footer">
    <w:name w:val="footer"/>
    <w:basedOn w:val="Header"/>
    <w:link w:val="FooterChar"/>
    <w:rsid w:val="001E05C6"/>
    <w:pPr>
      <w:tabs>
        <w:tab w:val="right" w:pos="10080"/>
      </w:tabs>
      <w:spacing w:before="240" w:after="0" w:line="200" w:lineRule="exact"/>
    </w:pPr>
    <w:rPr>
      <w:i/>
    </w:rPr>
  </w:style>
  <w:style w:type="character" w:customStyle="1" w:styleId="FooterChar">
    <w:name w:val="Footer Char"/>
    <w:basedOn w:val="DefaultParagraphFont"/>
    <w:link w:val="Footer"/>
    <w:rsid w:val="001E05C6"/>
    <w:rPr>
      <w:rFonts w:ascii="Times New Roman" w:eastAsia="SimSun" w:hAnsi="Times New Roman" w:cs="Times New Roman"/>
      <w:i/>
      <w:noProof/>
      <w:kern w:val="0"/>
      <w:sz w:val="14"/>
      <w:szCs w:val="20"/>
      <w:lang w:val="en-US"/>
      <w14:ligatures w14:val="none"/>
    </w:rPr>
  </w:style>
  <w:style w:type="character" w:styleId="Hyperlink">
    <w:name w:val="Hyperlink"/>
    <w:basedOn w:val="DefaultParagraphFont"/>
    <w:uiPriority w:val="99"/>
    <w:rsid w:val="001E05C6"/>
    <w:rPr>
      <w:rFonts w:cs="Times New Roman"/>
      <w:color w:val="auto"/>
      <w:sz w:val="16"/>
      <w:u w:val="none"/>
    </w:rPr>
  </w:style>
  <w:style w:type="table" w:styleId="TableGrid">
    <w:name w:val="Table Grid"/>
    <w:basedOn w:val="TableNormal"/>
    <w:uiPriority w:val="39"/>
    <w:rsid w:val="001E05C6"/>
    <w:pPr>
      <w:spacing w:after="0" w:line="240" w:lineRule="auto"/>
    </w:pPr>
    <w:rPr>
      <w:rFonts w:ascii="Times New Roman" w:eastAsia="SimSun" w:hAnsi="Times New Roman" w:cs="Times New Roman"/>
      <w:kern w:val="0"/>
      <w:sz w:val="20"/>
      <w:szCs w:val="20"/>
      <w:lang w:val="en-IN" w:eastAsia="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B39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20mahyafi@gmail.com%20%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7179C-06BA-40CB-9DA3-94B4062D8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14142</Words>
  <Characters>80614</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Halimatus2025@outlook.com</dc:creator>
  <cp:keywords/>
  <dc:description/>
  <cp:lastModifiedBy>Halimatus2025@outlook.com</cp:lastModifiedBy>
  <cp:revision>5</cp:revision>
  <cp:lastPrinted>2026-08-05T02:23:00Z</cp:lastPrinted>
  <dcterms:created xsi:type="dcterms:W3CDTF">2026-08-03T06:09:00Z</dcterms:created>
  <dcterms:modified xsi:type="dcterms:W3CDTF">2026-08-05T02:26:00Z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e8bd3299-f9a8-4466-b1ce-3f4ccb681ac0</vt:lpwstr>
  </property>
  <property fmtid="{D5CDD505-2E9C-101B-9397-08002B2CF9AE}" pid="3" name="Mendeley Recent Style Id 0_1">
    <vt:lpwstr>http://www.zotero.org/styles/apa-6th-edition</vt:lpwstr>
  </property>
  <property fmtid="{D5CDD505-2E9C-101B-9397-08002B2CF9AE}" pid="4" name="Mendeley Recent Style Name 0_1">
    <vt:lpwstr>APA Style 6th edition</vt:lpwstr>
  </property>
  <property fmtid="{D5CDD505-2E9C-101B-9397-08002B2CF9AE}" pid="5" name="Mendeley Recent Style Id 1_1">
    <vt:lpwstr>http://www.zotero.org/styles/american-medical-association</vt:lpwstr>
  </property>
  <property fmtid="{D5CDD505-2E9C-101B-9397-08002B2CF9AE}" pid="6" name="Mendeley Recent Style Name 1_1">
    <vt:lpwstr>American Medical Association 11th edition</vt:lpwstr>
  </property>
  <property fmtid="{D5CDD505-2E9C-101B-9397-08002B2CF9AE}" pid="7" name="Mendeley Recent Style Id 2_1">
    <vt:lpwstr>http://www.zotero.org/styles/american-political-science-association</vt:lpwstr>
  </property>
  <property fmtid="{D5CDD505-2E9C-101B-9397-08002B2CF9AE}" pid="8" name="Mendeley Recent Style Name 2_1">
    <vt:lpwstr>American Political Science Association</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6th/7th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18th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12th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9th edition (in-text citations)</vt:lpwstr>
  </property>
  <property fmtid="{D5CDD505-2E9C-101B-9397-08002B2CF9AE}" pid="23" name="Mendeley Document_1">
    <vt:lpwstr>True</vt:lpwstr>
  </property>
  <property fmtid="{D5CDD505-2E9C-101B-9397-08002B2CF9AE}" pid="24" name="Mendeley Unique User Id_1">
    <vt:lpwstr>ae459242-988d-37dd-bf4b-98b4154df4d0</vt:lpwstr>
  </property>
  <property fmtid="{D5CDD505-2E9C-101B-9397-08002B2CF9AE}" pid="25" name="Mendeley Citation Style_1">
    <vt:lpwstr>http://www.zotero.org/styles/apa</vt:lpwstr>
  </property>
</Properties>
</file>